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FB58" w14:textId="7B0BB395" w:rsidR="00042E7A" w:rsidRDefault="00AA7B9A" w:rsidP="00834538">
      <w:pPr>
        <w:tabs>
          <w:tab w:val="left" w:pos="5954"/>
        </w:tabs>
        <w:rPr>
          <w:b/>
          <w:bCs/>
        </w:rPr>
      </w:pPr>
      <w:r>
        <w:rPr>
          <w:b/>
          <w:bCs/>
        </w:rPr>
        <w:t>Summary of Consultation Responses: Review of Licence and Practice Fee Arrangements</w:t>
      </w:r>
    </w:p>
    <w:p w14:paraId="0AF54767" w14:textId="62104BA7" w:rsidR="00AE7ADB" w:rsidRDefault="00AE7ADB">
      <w:pPr>
        <w:rPr>
          <w:b/>
          <w:bCs/>
        </w:rPr>
      </w:pPr>
      <w:r>
        <w:rPr>
          <w:b/>
          <w:bCs/>
        </w:rPr>
        <w:t>July 2021</w:t>
      </w:r>
    </w:p>
    <w:p w14:paraId="0CE04CF7" w14:textId="026240B9" w:rsidR="005D7E41" w:rsidRDefault="005D7E41">
      <w:r>
        <w:t xml:space="preserve">The CLC received five formal responses to this consultation from: </w:t>
      </w:r>
    </w:p>
    <w:p w14:paraId="0E599CF4" w14:textId="1A9FFD05" w:rsidR="005D7E41" w:rsidRDefault="005D7E41" w:rsidP="005D7E41">
      <w:pPr>
        <w:pStyle w:val="ListParagraph"/>
        <w:numPr>
          <w:ilvl w:val="0"/>
          <w:numId w:val="1"/>
        </w:numPr>
      </w:pPr>
      <w:r>
        <w:t xml:space="preserve">The Society of Licensed Conveyancers </w:t>
      </w:r>
      <w:r w:rsidRPr="006F284F">
        <w:rPr>
          <w:b/>
          <w:bCs/>
        </w:rPr>
        <w:t>(SLC)</w:t>
      </w:r>
    </w:p>
    <w:p w14:paraId="7C73CEC9" w14:textId="6C280BD2" w:rsidR="005D7E41" w:rsidRDefault="005D7E41" w:rsidP="005D7E41">
      <w:pPr>
        <w:pStyle w:val="ListParagraph"/>
        <w:numPr>
          <w:ilvl w:val="0"/>
          <w:numId w:val="1"/>
        </w:numPr>
      </w:pPr>
      <w:r>
        <w:t>Simon Law (JS Law and DC Law) responding on behalf of the Simplify Group</w:t>
      </w:r>
      <w:r w:rsidR="006F284F">
        <w:t xml:space="preserve"> </w:t>
      </w:r>
      <w:r w:rsidR="006F284F" w:rsidRPr="006F284F">
        <w:rPr>
          <w:b/>
          <w:bCs/>
        </w:rPr>
        <w:t>(Simplify)*</w:t>
      </w:r>
    </w:p>
    <w:p w14:paraId="39DFA56B" w14:textId="06A71B6E" w:rsidR="005D7E41" w:rsidRDefault="005D7E41" w:rsidP="005D7E41">
      <w:pPr>
        <w:pStyle w:val="ListParagraph"/>
        <w:numPr>
          <w:ilvl w:val="0"/>
          <w:numId w:val="1"/>
        </w:numPr>
      </w:pPr>
      <w:r>
        <w:t xml:space="preserve">Connect2Law trading as </w:t>
      </w:r>
      <w:proofErr w:type="spellStart"/>
      <w:r>
        <w:t>Muve</w:t>
      </w:r>
      <w:proofErr w:type="spellEnd"/>
      <w:r w:rsidR="006F284F">
        <w:t xml:space="preserve"> </w:t>
      </w:r>
      <w:r w:rsidR="006F284F" w:rsidRPr="006F284F">
        <w:rPr>
          <w:b/>
          <w:bCs/>
        </w:rPr>
        <w:t>(</w:t>
      </w:r>
      <w:proofErr w:type="spellStart"/>
      <w:r w:rsidR="006F284F" w:rsidRPr="006F284F">
        <w:rPr>
          <w:b/>
          <w:bCs/>
        </w:rPr>
        <w:t>Muve</w:t>
      </w:r>
      <w:proofErr w:type="spellEnd"/>
      <w:r w:rsidR="006F284F" w:rsidRPr="006F284F">
        <w:rPr>
          <w:b/>
          <w:bCs/>
        </w:rPr>
        <w:t>)</w:t>
      </w:r>
    </w:p>
    <w:p w14:paraId="7ADA8D51" w14:textId="7351F054" w:rsidR="005D7E41" w:rsidRDefault="005D7E41" w:rsidP="005D7E41">
      <w:pPr>
        <w:pStyle w:val="ListParagraph"/>
        <w:numPr>
          <w:ilvl w:val="0"/>
          <w:numId w:val="1"/>
        </w:numPr>
      </w:pPr>
      <w:proofErr w:type="spellStart"/>
      <w:r>
        <w:t>Cartin</w:t>
      </w:r>
      <w:proofErr w:type="spellEnd"/>
      <w:r>
        <w:t xml:space="preserve"> Lincoln Haynes</w:t>
      </w:r>
      <w:r w:rsidR="006F284F">
        <w:t xml:space="preserve">; </w:t>
      </w:r>
      <w:r>
        <w:t>a sole practitioner</w:t>
      </w:r>
      <w:r w:rsidR="006F284F">
        <w:t xml:space="preserve"> </w:t>
      </w:r>
      <w:r w:rsidR="006F284F" w:rsidRPr="006F284F">
        <w:rPr>
          <w:b/>
          <w:bCs/>
        </w:rPr>
        <w:t>(CLH)</w:t>
      </w:r>
    </w:p>
    <w:p w14:paraId="6BFED356" w14:textId="297DB1D1" w:rsidR="005D7E41" w:rsidRDefault="005D7E41" w:rsidP="005D7E41">
      <w:pPr>
        <w:pStyle w:val="ListParagraph"/>
        <w:numPr>
          <w:ilvl w:val="0"/>
          <w:numId w:val="1"/>
        </w:numPr>
      </w:pPr>
      <w:r>
        <w:t xml:space="preserve">The Office for Legal Complaints </w:t>
      </w:r>
      <w:r w:rsidRPr="006F284F">
        <w:rPr>
          <w:b/>
          <w:bCs/>
        </w:rPr>
        <w:t>(OLC)</w:t>
      </w:r>
    </w:p>
    <w:p w14:paraId="51962F9F" w14:textId="1CA9ACA6" w:rsidR="005D7E41" w:rsidRDefault="00851CB6" w:rsidP="005D7E41">
      <w:r>
        <w:t>*</w:t>
      </w:r>
      <w:r w:rsidR="005D7E41">
        <w:t>Note that the responses for the SLC and Si</w:t>
      </w:r>
      <w:r w:rsidR="006F284F">
        <w:t>mplify</w:t>
      </w:r>
      <w:r w:rsidR="005D7E41">
        <w:t xml:space="preserve"> were </w:t>
      </w:r>
      <w:r w:rsidR="001A7DC1">
        <w:t>duplicates</w:t>
      </w:r>
      <w:r w:rsidR="00FA4137">
        <w:t>.</w:t>
      </w:r>
    </w:p>
    <w:tbl>
      <w:tblPr>
        <w:tblStyle w:val="TableGrid"/>
        <w:tblW w:w="0" w:type="auto"/>
        <w:tblLook w:val="04A0" w:firstRow="1" w:lastRow="0" w:firstColumn="1" w:lastColumn="0" w:noHBand="0" w:noVBand="1"/>
      </w:tblPr>
      <w:tblGrid>
        <w:gridCol w:w="441"/>
        <w:gridCol w:w="2872"/>
        <w:gridCol w:w="4053"/>
        <w:gridCol w:w="6582"/>
      </w:tblGrid>
      <w:tr w:rsidR="00B07E4B" w:rsidRPr="00F82555" w14:paraId="5ABD0E9C" w14:textId="09FB1D54" w:rsidTr="00C97583">
        <w:trPr>
          <w:tblHeader/>
        </w:trPr>
        <w:tc>
          <w:tcPr>
            <w:tcW w:w="441" w:type="dxa"/>
            <w:shd w:val="clear" w:color="auto" w:fill="FFFFFF" w:themeFill="background1"/>
          </w:tcPr>
          <w:p w14:paraId="67F706E4" w14:textId="77777777" w:rsidR="00B07E4B" w:rsidRPr="00F82555" w:rsidRDefault="00B07E4B" w:rsidP="005D7E41">
            <w:pPr>
              <w:rPr>
                <w:b/>
                <w:bCs/>
              </w:rPr>
            </w:pPr>
          </w:p>
        </w:tc>
        <w:tc>
          <w:tcPr>
            <w:tcW w:w="2872" w:type="dxa"/>
            <w:shd w:val="clear" w:color="auto" w:fill="FFFFFF" w:themeFill="background1"/>
          </w:tcPr>
          <w:p w14:paraId="0AD04F12" w14:textId="5D94A9F2" w:rsidR="00B07E4B" w:rsidRPr="00F82555" w:rsidRDefault="00B07E4B" w:rsidP="005D7E41">
            <w:pPr>
              <w:rPr>
                <w:b/>
                <w:bCs/>
              </w:rPr>
            </w:pPr>
            <w:r w:rsidRPr="00F82555">
              <w:rPr>
                <w:b/>
                <w:bCs/>
              </w:rPr>
              <w:t>Question</w:t>
            </w:r>
          </w:p>
        </w:tc>
        <w:tc>
          <w:tcPr>
            <w:tcW w:w="4053" w:type="dxa"/>
            <w:shd w:val="clear" w:color="auto" w:fill="FFFFFF" w:themeFill="background1"/>
          </w:tcPr>
          <w:p w14:paraId="352154C0" w14:textId="5D14A56E" w:rsidR="00B07E4B" w:rsidRPr="00F82555" w:rsidRDefault="00B07E4B" w:rsidP="005D7E41">
            <w:pPr>
              <w:rPr>
                <w:b/>
                <w:bCs/>
              </w:rPr>
            </w:pPr>
            <w:r w:rsidRPr="00F82555">
              <w:rPr>
                <w:b/>
                <w:bCs/>
              </w:rPr>
              <w:t>Summary of responses</w:t>
            </w:r>
          </w:p>
        </w:tc>
        <w:tc>
          <w:tcPr>
            <w:tcW w:w="6582" w:type="dxa"/>
            <w:shd w:val="clear" w:color="auto" w:fill="FFFFFF" w:themeFill="background1"/>
          </w:tcPr>
          <w:p w14:paraId="01A0CAD4" w14:textId="1625FC0E" w:rsidR="00B07E4B" w:rsidRPr="00F82555" w:rsidRDefault="00B07E4B" w:rsidP="005D7E41">
            <w:pPr>
              <w:rPr>
                <w:b/>
                <w:bCs/>
              </w:rPr>
            </w:pPr>
            <w:r w:rsidRPr="00F82555">
              <w:rPr>
                <w:b/>
                <w:bCs/>
              </w:rPr>
              <w:t xml:space="preserve">CLC </w:t>
            </w:r>
            <w:r w:rsidR="00F82555" w:rsidRPr="00F82555">
              <w:rPr>
                <w:b/>
                <w:bCs/>
              </w:rPr>
              <w:t xml:space="preserve">response </w:t>
            </w:r>
          </w:p>
        </w:tc>
      </w:tr>
      <w:tr w:rsidR="00B07E4B" w14:paraId="6B974187" w14:textId="4DF17F8C" w:rsidTr="00C97583">
        <w:tc>
          <w:tcPr>
            <w:tcW w:w="7366" w:type="dxa"/>
            <w:gridSpan w:val="3"/>
            <w:shd w:val="clear" w:color="auto" w:fill="DEEAF6" w:themeFill="accent5" w:themeFillTint="33"/>
          </w:tcPr>
          <w:p w14:paraId="38B3FA54" w14:textId="486B424B" w:rsidR="00B07E4B" w:rsidRPr="00851CB6" w:rsidRDefault="00B07E4B" w:rsidP="005D7E41">
            <w:pPr>
              <w:rPr>
                <w:b/>
                <w:bCs/>
              </w:rPr>
            </w:pPr>
            <w:r>
              <w:rPr>
                <w:b/>
                <w:bCs/>
              </w:rPr>
              <w:t>Part 1: Separate billing for OLC charges</w:t>
            </w:r>
          </w:p>
        </w:tc>
        <w:tc>
          <w:tcPr>
            <w:tcW w:w="6582" w:type="dxa"/>
            <w:shd w:val="clear" w:color="auto" w:fill="DEEAF6" w:themeFill="accent5" w:themeFillTint="33"/>
          </w:tcPr>
          <w:p w14:paraId="44B701F7" w14:textId="77777777" w:rsidR="00B07E4B" w:rsidRDefault="00B07E4B" w:rsidP="005D7E41">
            <w:pPr>
              <w:rPr>
                <w:b/>
                <w:bCs/>
              </w:rPr>
            </w:pPr>
          </w:p>
        </w:tc>
      </w:tr>
      <w:tr w:rsidR="00B07E4B" w14:paraId="78C140D2" w14:textId="6FA3D5DF" w:rsidTr="00C97583">
        <w:tc>
          <w:tcPr>
            <w:tcW w:w="441" w:type="dxa"/>
          </w:tcPr>
          <w:p w14:paraId="24B9D028" w14:textId="2EEC85CE" w:rsidR="00B07E4B" w:rsidRDefault="00B07E4B" w:rsidP="005D7E41">
            <w:r>
              <w:t>1</w:t>
            </w:r>
          </w:p>
        </w:tc>
        <w:tc>
          <w:tcPr>
            <w:tcW w:w="2872" w:type="dxa"/>
          </w:tcPr>
          <w:p w14:paraId="0773489B" w14:textId="615CB82C" w:rsidR="00B07E4B" w:rsidRDefault="00B07E4B" w:rsidP="00851CB6">
            <w:r>
              <w:t>Do you agree with the CLC’s proposal to remove the OLC charge from the Practice Fee and charge it to practices separately on a ‘user pays’ basis?</w:t>
            </w:r>
          </w:p>
        </w:tc>
        <w:tc>
          <w:tcPr>
            <w:tcW w:w="4053" w:type="dxa"/>
          </w:tcPr>
          <w:p w14:paraId="6DC0B5E3" w14:textId="77777777" w:rsidR="00B07E4B" w:rsidRDefault="00B07E4B" w:rsidP="005D7E41">
            <w:r>
              <w:t>The SLC and Simplify stated that while they have no objection to removing the OLC charge, they have ‘concerns’ over charging it on a user-pays basis (see Q4).</w:t>
            </w:r>
          </w:p>
          <w:p w14:paraId="71AB2F7C" w14:textId="53D3FE10" w:rsidR="00B07E4B" w:rsidRDefault="00B07E4B" w:rsidP="005D7E41"/>
          <w:p w14:paraId="06C68103" w14:textId="43306E19" w:rsidR="00B07E4B" w:rsidRDefault="00B07E4B" w:rsidP="005D7E41">
            <w:proofErr w:type="spellStart"/>
            <w:r>
              <w:t>Muve</w:t>
            </w:r>
            <w:proofErr w:type="spellEnd"/>
            <w:r>
              <w:t xml:space="preserve">, CLH, OLC agreed with the proposal in principle. </w:t>
            </w:r>
            <w:proofErr w:type="spellStart"/>
            <w:r>
              <w:t>Muve</w:t>
            </w:r>
            <w:proofErr w:type="spellEnd"/>
            <w:r>
              <w:t xml:space="preserve"> noted that it is right that there should be incentives to reduce complaint levels. </w:t>
            </w:r>
          </w:p>
          <w:p w14:paraId="6CB50D04" w14:textId="150EBE67" w:rsidR="00B07E4B" w:rsidRDefault="00B07E4B" w:rsidP="005D7E41"/>
        </w:tc>
        <w:tc>
          <w:tcPr>
            <w:tcW w:w="6582" w:type="dxa"/>
          </w:tcPr>
          <w:p w14:paraId="1F7EB071" w14:textId="77777777" w:rsidR="009D19AC" w:rsidRDefault="009D19AC" w:rsidP="005D7E41">
            <w:r>
              <w:t xml:space="preserve">The proposal was generally supported. </w:t>
            </w:r>
          </w:p>
          <w:p w14:paraId="78BD1B00" w14:textId="77777777" w:rsidR="0006736E" w:rsidRDefault="0006736E" w:rsidP="005D7E41"/>
          <w:p w14:paraId="6C45037A" w14:textId="77777777" w:rsidR="0006736E" w:rsidRDefault="0006736E" w:rsidP="005D7E41"/>
          <w:p w14:paraId="6FA9E331" w14:textId="77777777" w:rsidR="0006736E" w:rsidRDefault="0006736E" w:rsidP="005D7E41"/>
          <w:p w14:paraId="7B50CE62" w14:textId="43E6286E" w:rsidR="00B07E4B" w:rsidRDefault="006C11E3" w:rsidP="005D7E41">
            <w:r>
              <w:t>The concerns raise</w:t>
            </w:r>
            <w:r w:rsidR="00C43C46">
              <w:t xml:space="preserve">d </w:t>
            </w:r>
            <w:r w:rsidR="009D19AC">
              <w:t xml:space="preserve">by SLC and Simplify </w:t>
            </w:r>
            <w:r w:rsidR="00C43C46">
              <w:t xml:space="preserve">were set out in </w:t>
            </w:r>
            <w:r w:rsidR="0006736E">
              <w:t xml:space="preserve">detail in </w:t>
            </w:r>
            <w:r w:rsidR="00C43C46">
              <w:t>response to question 4, below</w:t>
            </w:r>
            <w:r w:rsidR="009D19AC">
              <w:t xml:space="preserve"> and are addressed there</w:t>
            </w:r>
            <w:r w:rsidR="00C43C46">
              <w:t xml:space="preserve">. </w:t>
            </w:r>
          </w:p>
        </w:tc>
      </w:tr>
      <w:tr w:rsidR="00B07E4B" w14:paraId="2F74E221" w14:textId="2349266D" w:rsidTr="00C97583">
        <w:tc>
          <w:tcPr>
            <w:tcW w:w="441" w:type="dxa"/>
          </w:tcPr>
          <w:p w14:paraId="28E0A78F" w14:textId="42D606E7" w:rsidR="00B07E4B" w:rsidRDefault="00B07E4B" w:rsidP="005D7E41">
            <w:r>
              <w:t>2</w:t>
            </w:r>
          </w:p>
        </w:tc>
        <w:tc>
          <w:tcPr>
            <w:tcW w:w="2872" w:type="dxa"/>
          </w:tcPr>
          <w:p w14:paraId="4D88E8BF" w14:textId="4703CA41" w:rsidR="00B07E4B" w:rsidRDefault="00B07E4B" w:rsidP="005D7E41">
            <w:r>
              <w:t>Do you agree that all practices should pay an OLC availability fee regardless of whether they have any active cases being investigated by the OLC?</w:t>
            </w:r>
          </w:p>
        </w:tc>
        <w:tc>
          <w:tcPr>
            <w:tcW w:w="4053" w:type="dxa"/>
          </w:tcPr>
          <w:p w14:paraId="6C70B4F6" w14:textId="3A1DD88A" w:rsidR="00B07E4B" w:rsidRDefault="00B07E4B" w:rsidP="005D7E41">
            <w:r>
              <w:t xml:space="preserve">4 responded Yes, and the OLC did not respond specifically to this question. </w:t>
            </w:r>
          </w:p>
          <w:p w14:paraId="4236E64B" w14:textId="77777777" w:rsidR="00B07E4B" w:rsidRDefault="00B07E4B" w:rsidP="005D7E41"/>
          <w:p w14:paraId="1855D263" w14:textId="2608FF4D" w:rsidR="00B07E4B" w:rsidRDefault="00B07E4B" w:rsidP="005D7E41">
            <w:proofErr w:type="spellStart"/>
            <w:r>
              <w:t>Muve</w:t>
            </w:r>
            <w:proofErr w:type="spellEnd"/>
            <w:r>
              <w:t xml:space="preserve"> added that ‘this should initially constitute 100% of the OLC charge to the CLC firms with the OLC usage fee phased in over the first 3 years.’</w:t>
            </w:r>
          </w:p>
        </w:tc>
        <w:tc>
          <w:tcPr>
            <w:tcW w:w="6582" w:type="dxa"/>
          </w:tcPr>
          <w:p w14:paraId="0A239869" w14:textId="03FFD4C6" w:rsidR="009D19AC" w:rsidRDefault="009D19AC" w:rsidP="005D7E41">
            <w:r>
              <w:t xml:space="preserve">The proposal was generally supported. </w:t>
            </w:r>
          </w:p>
          <w:p w14:paraId="51A1B5FE" w14:textId="77777777" w:rsidR="009D19AC" w:rsidRDefault="009D19AC" w:rsidP="005D7E41"/>
          <w:p w14:paraId="6BB4D41B" w14:textId="77777777" w:rsidR="0006736E" w:rsidRDefault="0006736E" w:rsidP="005D7E41"/>
          <w:p w14:paraId="50E68F2F" w14:textId="73BA9BBB" w:rsidR="00B07E4B" w:rsidRDefault="00C43C46" w:rsidP="005D7E41">
            <w:r>
              <w:t xml:space="preserve">We have considered the phased introduction of the </w:t>
            </w:r>
            <w:r w:rsidR="009D19AC">
              <w:t>‘user pays’ element of contributions to the OLC’s costs.</w:t>
            </w:r>
            <w:r w:rsidR="0027798B">
              <w:t xml:space="preserve"> </w:t>
            </w:r>
          </w:p>
          <w:p w14:paraId="58F5568F" w14:textId="57068F14" w:rsidR="0027798B" w:rsidRDefault="0027798B" w:rsidP="005D7E41"/>
          <w:p w14:paraId="31ABD805" w14:textId="79879891" w:rsidR="0027798B" w:rsidRDefault="0027798B" w:rsidP="005D7E41">
            <w:r>
              <w:t>Phasing in of the user pays element of the cost would mean that practices with lowe</w:t>
            </w:r>
            <w:r w:rsidR="007B1B88">
              <w:t>r</w:t>
            </w:r>
            <w:r>
              <w:t xml:space="preserve"> or no OLC cases would continue to subsidise those practices with high cases numbers. When viewed together with rapidly increasing OLC cost per case, it supports the case of an immediate implementation which will incentivise those practices to look at their service levels and particularly their complaints handing process.</w:t>
            </w:r>
          </w:p>
          <w:p w14:paraId="2593AA17" w14:textId="2CF107E7" w:rsidR="0027798B" w:rsidRDefault="0027798B" w:rsidP="005D7E41"/>
          <w:p w14:paraId="35C8F0B3" w14:textId="62283CBD" w:rsidR="0027798B" w:rsidRDefault="0027798B" w:rsidP="005D7E41">
            <w:r>
              <w:t>There is also an element of fairness attached to this change. This cost is driven by activity and many practices are paying for this activity even if they have had no activity or low activity over the last 3 years. It would be difficult for the CLC to justify a phasing in to support practices that are driving possibly and unnecessary cost.</w:t>
            </w:r>
          </w:p>
          <w:p w14:paraId="3CAF1978" w14:textId="2470DF45" w:rsidR="00C97583" w:rsidRDefault="00C97583" w:rsidP="005D7E41"/>
          <w:p w14:paraId="19322945" w14:textId="191C6BC0" w:rsidR="00C97583" w:rsidRDefault="00C97583" w:rsidP="005D7E41">
            <w:r>
              <w:t xml:space="preserve">The OLC cost recharge to the CLC is also growing at unmanageable levels (see annex to this document). Although there will be short term cost increase to some practices, this action will benefit the whole regulated community by lowering cost </w:t>
            </w:r>
            <w:proofErr w:type="gramStart"/>
            <w:r>
              <w:t>and also</w:t>
            </w:r>
            <w:proofErr w:type="gramEnd"/>
            <w:r>
              <w:t xml:space="preserve"> have consumer benefit in that complaints are prioritized and resolved quickly.</w:t>
            </w:r>
          </w:p>
          <w:p w14:paraId="53CC72D1" w14:textId="77777777" w:rsidR="009D19AC" w:rsidRDefault="009D19AC" w:rsidP="005D7E41"/>
          <w:p w14:paraId="3E78E63F" w14:textId="667DF4E4" w:rsidR="009D19AC" w:rsidRDefault="0027798B" w:rsidP="005D7E41">
            <w:r>
              <w:t>Most</w:t>
            </w:r>
            <w:r w:rsidR="009D19AC">
              <w:t xml:space="preserve"> practices will see </w:t>
            </w:r>
            <w:r>
              <w:t xml:space="preserve">a reduction or marginal increase in their regulatory cost </w:t>
            </w:r>
            <w:r w:rsidR="009D19AC">
              <w:t>under the ‘user-pays’ model. Given that only a small group of firms will face</w:t>
            </w:r>
            <w:r>
              <w:t xml:space="preserve"> </w:t>
            </w:r>
            <w:r w:rsidR="00C97583">
              <w:t>significant</w:t>
            </w:r>
            <w:r w:rsidR="009D19AC">
              <w:t xml:space="preserve"> increases, and in view of the additional complications of phasing in the model, we do not propose to phase in the ‘user-pays’ element. </w:t>
            </w:r>
          </w:p>
          <w:p w14:paraId="4853F831" w14:textId="53C16CD4" w:rsidR="009D19AC" w:rsidRDefault="009D19AC" w:rsidP="005D7E41"/>
        </w:tc>
      </w:tr>
      <w:tr w:rsidR="00B07E4B" w14:paraId="318C4947" w14:textId="1A42C099" w:rsidTr="00C97583">
        <w:tc>
          <w:tcPr>
            <w:tcW w:w="441" w:type="dxa"/>
          </w:tcPr>
          <w:p w14:paraId="3213CE60" w14:textId="27D3A84E" w:rsidR="00B07E4B" w:rsidRDefault="00B07E4B" w:rsidP="005D7E41">
            <w:r>
              <w:t>3</w:t>
            </w:r>
          </w:p>
        </w:tc>
        <w:tc>
          <w:tcPr>
            <w:tcW w:w="2872" w:type="dxa"/>
          </w:tcPr>
          <w:p w14:paraId="3CE1102B" w14:textId="0FD2C34A" w:rsidR="00B07E4B" w:rsidRDefault="00B07E4B" w:rsidP="005D7E41">
            <w:r>
              <w:t>Do you agree that the OLC availability fee should increase with turnover?</w:t>
            </w:r>
          </w:p>
        </w:tc>
        <w:tc>
          <w:tcPr>
            <w:tcW w:w="4053" w:type="dxa"/>
          </w:tcPr>
          <w:p w14:paraId="78CAEF78" w14:textId="1C51D94A" w:rsidR="00B07E4B" w:rsidRDefault="00B07E4B" w:rsidP="00FA4137">
            <w:proofErr w:type="spellStart"/>
            <w:r>
              <w:t>Muve</w:t>
            </w:r>
            <w:proofErr w:type="spellEnd"/>
            <w:r>
              <w:t xml:space="preserve"> and CLH responded Yes and OLC did not respond. </w:t>
            </w:r>
          </w:p>
          <w:p w14:paraId="0B09A7C1" w14:textId="77777777" w:rsidR="00B07E4B" w:rsidRDefault="00B07E4B" w:rsidP="00FA4137"/>
          <w:p w14:paraId="21360C8D" w14:textId="0C754F9D" w:rsidR="00B07E4B" w:rsidRDefault="00B07E4B" w:rsidP="00FA4137">
            <w:r>
              <w:t xml:space="preserve">SLC and </w:t>
            </w:r>
            <w:proofErr w:type="gramStart"/>
            <w:r>
              <w:t>Simplify</w:t>
            </w:r>
            <w:proofErr w:type="gramEnd"/>
            <w:r>
              <w:t xml:space="preserve"> noted that this was difficult to respond to without data on which size practices have on average the most cases. However, they agree on the assumption that practices with higher turnovers will use the OLC more. </w:t>
            </w:r>
          </w:p>
        </w:tc>
        <w:tc>
          <w:tcPr>
            <w:tcW w:w="6582" w:type="dxa"/>
          </w:tcPr>
          <w:p w14:paraId="0DE3634F" w14:textId="42CF9F3A" w:rsidR="00B07E4B" w:rsidRDefault="009D19AC" w:rsidP="00FA4137">
            <w:r>
              <w:t xml:space="preserve">The proposal was supported. </w:t>
            </w:r>
          </w:p>
        </w:tc>
      </w:tr>
      <w:tr w:rsidR="00B07E4B" w14:paraId="3156E6BD" w14:textId="55C03EFA" w:rsidTr="00C97583">
        <w:tc>
          <w:tcPr>
            <w:tcW w:w="441" w:type="dxa"/>
          </w:tcPr>
          <w:p w14:paraId="6DE3EA47" w14:textId="7DEC90BF" w:rsidR="00B07E4B" w:rsidRDefault="00B07E4B" w:rsidP="005D7E41">
            <w:r>
              <w:t>4</w:t>
            </w:r>
          </w:p>
        </w:tc>
        <w:tc>
          <w:tcPr>
            <w:tcW w:w="2872" w:type="dxa"/>
          </w:tcPr>
          <w:p w14:paraId="5B9F9C8E" w14:textId="664F0D4C" w:rsidR="00B07E4B" w:rsidRDefault="00B07E4B" w:rsidP="005D7E41">
            <w:r>
              <w:t>Do you have any other thoughts or recommendations on the proposal to separate the OLC recharge from the Practice Fee and to bill this charge separately on a user pays basis?</w:t>
            </w:r>
          </w:p>
        </w:tc>
        <w:tc>
          <w:tcPr>
            <w:tcW w:w="4053" w:type="dxa"/>
          </w:tcPr>
          <w:p w14:paraId="5E5361B6" w14:textId="6C22C3B5" w:rsidR="00B07E4B" w:rsidRDefault="00B07E4B" w:rsidP="005D7E41">
            <w:r>
              <w:rPr>
                <w:b/>
                <w:bCs/>
              </w:rPr>
              <w:t>CLH</w:t>
            </w:r>
            <w:r>
              <w:t xml:space="preserve"> noted that it seems like a much fairer system.</w:t>
            </w:r>
          </w:p>
          <w:p w14:paraId="0CBAF35D" w14:textId="77777777" w:rsidR="00B07E4B" w:rsidRPr="002B7F90" w:rsidRDefault="00B07E4B" w:rsidP="005D7E41"/>
          <w:p w14:paraId="7FBE8174" w14:textId="0603E420" w:rsidR="00B07E4B" w:rsidRPr="002B7F90" w:rsidRDefault="00B07E4B" w:rsidP="005D7E41">
            <w:pPr>
              <w:rPr>
                <w:b/>
                <w:bCs/>
              </w:rPr>
            </w:pPr>
            <w:r w:rsidRPr="002B7F90">
              <w:rPr>
                <w:b/>
                <w:bCs/>
              </w:rPr>
              <w:t xml:space="preserve">SLC and Simplify: </w:t>
            </w:r>
          </w:p>
          <w:p w14:paraId="418D9445" w14:textId="30D880E2" w:rsidR="00B07E4B" w:rsidRDefault="00B07E4B" w:rsidP="002B7F90">
            <w:pPr>
              <w:pStyle w:val="ListParagraph"/>
              <w:numPr>
                <w:ilvl w:val="0"/>
                <w:numId w:val="2"/>
              </w:numPr>
            </w:pPr>
            <w:r>
              <w:t xml:space="preserve">Noted the </w:t>
            </w:r>
            <w:proofErr w:type="gramStart"/>
            <w:r>
              <w:t>3 year</w:t>
            </w:r>
            <w:proofErr w:type="gramEnd"/>
            <w:r>
              <w:t xml:space="preserve"> rolling period seems very low across all bandings.</w:t>
            </w:r>
          </w:p>
          <w:p w14:paraId="628C5C6D" w14:textId="77777777" w:rsidR="00B07E4B" w:rsidRDefault="00B07E4B" w:rsidP="002B7F90">
            <w:pPr>
              <w:pStyle w:val="ListParagraph"/>
              <w:numPr>
                <w:ilvl w:val="0"/>
                <w:numId w:val="2"/>
              </w:numPr>
            </w:pPr>
            <w:r>
              <w:t>Contest the assertion that firms with more referrals to OLC have ineffective complaints-handling</w:t>
            </w:r>
          </w:p>
          <w:p w14:paraId="4E495630" w14:textId="58A064DE" w:rsidR="00B07E4B" w:rsidRDefault="00B07E4B" w:rsidP="002B7F90">
            <w:pPr>
              <w:pStyle w:val="ListParagraph"/>
              <w:numPr>
                <w:ilvl w:val="0"/>
                <w:numId w:val="2"/>
              </w:numPr>
            </w:pPr>
            <w:r>
              <w:t>Noted that in their experience matters are more likely to be referred to OLC where the complaint is about seeking more financial compensation than what has already been offered.</w:t>
            </w:r>
          </w:p>
          <w:p w14:paraId="1C4A7AE2" w14:textId="5F6F27F4" w:rsidR="00666C34" w:rsidRDefault="00666C34" w:rsidP="00666C34"/>
          <w:p w14:paraId="465CA36B" w14:textId="77777777" w:rsidR="00666C34" w:rsidRDefault="00666C34" w:rsidP="00666C34"/>
          <w:p w14:paraId="4FD6E2F9" w14:textId="3EF719AF" w:rsidR="00B07E4B" w:rsidRDefault="00B07E4B" w:rsidP="002B7F90">
            <w:pPr>
              <w:pStyle w:val="ListParagraph"/>
              <w:numPr>
                <w:ilvl w:val="0"/>
                <w:numId w:val="2"/>
              </w:numPr>
            </w:pPr>
            <w:r>
              <w:t xml:space="preserve">Most cases are dealt with informally and with the £400 case fee waived if the firm meets exemption criteria. </w:t>
            </w:r>
            <w:proofErr w:type="gramStart"/>
            <w:r>
              <w:t>So</w:t>
            </w:r>
            <w:proofErr w:type="gramEnd"/>
            <w:r>
              <w:t xml:space="preserve"> the OLC usage fee would encourage practices to offer higher sums of compensation. </w:t>
            </w:r>
          </w:p>
          <w:p w14:paraId="28A12D23" w14:textId="55936467" w:rsidR="00666C34" w:rsidRDefault="00666C34" w:rsidP="00666C34"/>
          <w:p w14:paraId="127FA221" w14:textId="457B963E" w:rsidR="00666C34" w:rsidRDefault="00666C34" w:rsidP="00666C34"/>
          <w:p w14:paraId="313FA297" w14:textId="714D3B11" w:rsidR="00666C34" w:rsidRDefault="00666C34" w:rsidP="00666C34"/>
          <w:p w14:paraId="3ADFEE91" w14:textId="77777777" w:rsidR="00666C34" w:rsidRDefault="00666C34" w:rsidP="00666C34"/>
          <w:p w14:paraId="535806D4" w14:textId="77777777" w:rsidR="004672BD" w:rsidRDefault="004672BD" w:rsidP="00AD0E30">
            <w:pPr>
              <w:pStyle w:val="ListParagraph"/>
            </w:pPr>
          </w:p>
          <w:p w14:paraId="04331343" w14:textId="77777777" w:rsidR="004672BD" w:rsidRDefault="004672BD" w:rsidP="00AD0E30">
            <w:pPr>
              <w:pStyle w:val="ListParagraph"/>
            </w:pPr>
          </w:p>
          <w:p w14:paraId="034F9890" w14:textId="77777777" w:rsidR="004672BD" w:rsidRDefault="004672BD" w:rsidP="00AD0E30">
            <w:pPr>
              <w:pStyle w:val="ListParagraph"/>
            </w:pPr>
          </w:p>
          <w:p w14:paraId="530FEC59" w14:textId="77777777" w:rsidR="004672BD" w:rsidRDefault="004672BD" w:rsidP="00AD0E30">
            <w:pPr>
              <w:pStyle w:val="ListParagraph"/>
            </w:pPr>
          </w:p>
          <w:p w14:paraId="649B3855" w14:textId="77777777" w:rsidR="004672BD" w:rsidRDefault="004672BD" w:rsidP="00AD0E30">
            <w:pPr>
              <w:pStyle w:val="ListParagraph"/>
            </w:pPr>
          </w:p>
          <w:p w14:paraId="233E7D59" w14:textId="77777777" w:rsidR="004672BD" w:rsidRDefault="004672BD" w:rsidP="00AD0E30">
            <w:pPr>
              <w:pStyle w:val="ListParagraph"/>
            </w:pPr>
          </w:p>
          <w:p w14:paraId="6355D51A" w14:textId="77777777" w:rsidR="004672BD" w:rsidRDefault="004672BD" w:rsidP="00AD0E30">
            <w:pPr>
              <w:pStyle w:val="ListParagraph"/>
            </w:pPr>
          </w:p>
          <w:p w14:paraId="3565B419" w14:textId="2E33D700" w:rsidR="004672BD" w:rsidRDefault="004672BD" w:rsidP="00B84E0E"/>
          <w:p w14:paraId="15CBE4BB" w14:textId="4A12A995" w:rsidR="00B84E0E" w:rsidRDefault="00B84E0E" w:rsidP="00B84E0E"/>
          <w:p w14:paraId="49009631" w14:textId="368EA035" w:rsidR="00B84E0E" w:rsidRDefault="00B84E0E" w:rsidP="00B84E0E"/>
          <w:p w14:paraId="18A4D2E5" w14:textId="77777777" w:rsidR="00B84E0E" w:rsidRDefault="00B84E0E" w:rsidP="00B84E0E"/>
          <w:p w14:paraId="000DD126" w14:textId="77777777" w:rsidR="00B84E0E" w:rsidRDefault="00B84E0E" w:rsidP="00AD0E30">
            <w:pPr>
              <w:pStyle w:val="ListParagraph"/>
            </w:pPr>
          </w:p>
          <w:p w14:paraId="56F91C34" w14:textId="77777777" w:rsidR="00B84E0E" w:rsidRDefault="00B84E0E" w:rsidP="00AD0E30">
            <w:pPr>
              <w:pStyle w:val="ListParagraph"/>
            </w:pPr>
          </w:p>
          <w:p w14:paraId="6B7FCDE2" w14:textId="77777777" w:rsidR="00AD0E30" w:rsidRDefault="00AD0E30" w:rsidP="00AD0E30">
            <w:pPr>
              <w:pStyle w:val="ListParagraph"/>
            </w:pPr>
          </w:p>
          <w:p w14:paraId="20ED0950" w14:textId="77777777" w:rsidR="00AD0E30" w:rsidRDefault="00AD0E30" w:rsidP="00AD0E30">
            <w:pPr>
              <w:pStyle w:val="ListParagraph"/>
            </w:pPr>
          </w:p>
          <w:p w14:paraId="333324AB" w14:textId="77777777" w:rsidR="00AD0E30" w:rsidRDefault="00AD0E30" w:rsidP="00AD0E30">
            <w:pPr>
              <w:pStyle w:val="ListParagraph"/>
            </w:pPr>
          </w:p>
          <w:p w14:paraId="7F138594" w14:textId="77777777" w:rsidR="00AD0E30" w:rsidRDefault="00AD0E30" w:rsidP="00AD0E30">
            <w:pPr>
              <w:pStyle w:val="ListParagraph"/>
            </w:pPr>
          </w:p>
          <w:p w14:paraId="20AB954E" w14:textId="4C128F62" w:rsidR="00B07E4B" w:rsidRDefault="00B07E4B" w:rsidP="002B7F90">
            <w:pPr>
              <w:pStyle w:val="ListParagraph"/>
              <w:numPr>
                <w:ilvl w:val="0"/>
                <w:numId w:val="2"/>
              </w:numPr>
            </w:pPr>
            <w:r>
              <w:t>The pandemic will likely have increased referrals to OLC considerably. The increased pressure on practices during this time should be considered so that calculations during the implementation period are not distorted.</w:t>
            </w:r>
          </w:p>
          <w:p w14:paraId="0B5193CC" w14:textId="1882411D" w:rsidR="00666C34" w:rsidRDefault="00666C34" w:rsidP="00666C34"/>
          <w:p w14:paraId="5808BA3E" w14:textId="61DDCC04" w:rsidR="00666C34" w:rsidRDefault="00666C34" w:rsidP="00666C34"/>
          <w:p w14:paraId="14E89A16" w14:textId="77777777" w:rsidR="00666C34" w:rsidRDefault="00666C34" w:rsidP="00666C34"/>
          <w:p w14:paraId="353AB09C" w14:textId="77777777" w:rsidR="00B07E4B" w:rsidRDefault="00B07E4B" w:rsidP="002B7F90">
            <w:pPr>
              <w:pStyle w:val="ListParagraph"/>
              <w:numPr>
                <w:ilvl w:val="0"/>
                <w:numId w:val="2"/>
              </w:numPr>
            </w:pPr>
            <w:r>
              <w:t xml:space="preserve">The proposal will change the dynamic between practices and the OLC and continue to erode practices’ confidence in the OLC. </w:t>
            </w:r>
          </w:p>
          <w:p w14:paraId="049846B1" w14:textId="7722C63C" w:rsidR="00B07E4B" w:rsidRDefault="00B07E4B" w:rsidP="002B7F90"/>
          <w:p w14:paraId="0C1BD586" w14:textId="77777777" w:rsidR="00E9296A" w:rsidRDefault="00E9296A" w:rsidP="002B7F90"/>
          <w:p w14:paraId="0EAD6F44" w14:textId="77777777" w:rsidR="00B07E4B" w:rsidRDefault="00B07E4B" w:rsidP="002B7F90">
            <w:pPr>
              <w:rPr>
                <w:b/>
                <w:bCs/>
              </w:rPr>
            </w:pPr>
            <w:proofErr w:type="spellStart"/>
            <w:r>
              <w:rPr>
                <w:b/>
                <w:bCs/>
              </w:rPr>
              <w:t>Muve</w:t>
            </w:r>
            <w:proofErr w:type="spellEnd"/>
            <w:r>
              <w:rPr>
                <w:b/>
                <w:bCs/>
              </w:rPr>
              <w:t xml:space="preserve">: </w:t>
            </w:r>
          </w:p>
          <w:p w14:paraId="0FF185C2" w14:textId="4849D7E3" w:rsidR="00B07E4B" w:rsidRDefault="00B07E4B" w:rsidP="002B7F90">
            <w:pPr>
              <w:pStyle w:val="ListParagraph"/>
              <w:numPr>
                <w:ilvl w:val="0"/>
                <w:numId w:val="2"/>
              </w:numPr>
            </w:pPr>
            <w:r>
              <w:t>Basing the OLC usage fee on number of cases referred to OLC cannot be a meaningful or fair measure. The only fair measure would be the number of complaints upheld by the OLC.</w:t>
            </w:r>
          </w:p>
          <w:p w14:paraId="53EBF389" w14:textId="0943D171" w:rsidR="00E9296A" w:rsidRDefault="00E9296A" w:rsidP="00E9296A"/>
          <w:p w14:paraId="09C691A1" w14:textId="21CD7C19" w:rsidR="000A76F0" w:rsidRDefault="000A76F0" w:rsidP="00E9296A"/>
          <w:p w14:paraId="631E7DCF" w14:textId="23CD46EB" w:rsidR="000A76F0" w:rsidRDefault="000A76F0" w:rsidP="00E9296A"/>
          <w:p w14:paraId="15265B3F" w14:textId="7B874A5D" w:rsidR="000A76F0" w:rsidRDefault="000A76F0" w:rsidP="00E9296A"/>
          <w:p w14:paraId="103CC0C2" w14:textId="05BB8668" w:rsidR="000A76F0" w:rsidRDefault="000A76F0" w:rsidP="00E9296A"/>
          <w:p w14:paraId="061FF28A" w14:textId="7AE3FB35" w:rsidR="000A76F0" w:rsidRDefault="000A76F0" w:rsidP="00E9296A"/>
          <w:p w14:paraId="1729106D" w14:textId="1D67D5EE" w:rsidR="000A76F0" w:rsidRDefault="000A76F0" w:rsidP="00E9296A"/>
          <w:p w14:paraId="3386C502" w14:textId="77777777" w:rsidR="000A76F0" w:rsidRDefault="000A76F0" w:rsidP="00E9296A"/>
          <w:p w14:paraId="5F635A95" w14:textId="0196E31E" w:rsidR="000A76F0" w:rsidRDefault="000A76F0" w:rsidP="00E9296A"/>
          <w:p w14:paraId="01068F77" w14:textId="73BA81D0" w:rsidR="000A76F0" w:rsidRDefault="000A76F0" w:rsidP="00E9296A"/>
          <w:p w14:paraId="45B50899" w14:textId="77777777" w:rsidR="0006736E" w:rsidRDefault="0006736E" w:rsidP="00D64518"/>
          <w:p w14:paraId="33BE2115" w14:textId="54CFDF44" w:rsidR="00B07E4B" w:rsidRDefault="00B07E4B" w:rsidP="00D64518">
            <w:r>
              <w:t>On the method of implementation</w:t>
            </w:r>
          </w:p>
          <w:p w14:paraId="39B95C9E" w14:textId="350F7E89" w:rsidR="00B07E4B" w:rsidRDefault="00B07E4B" w:rsidP="00D64518">
            <w:pPr>
              <w:pStyle w:val="ListParagraph"/>
              <w:numPr>
                <w:ilvl w:val="0"/>
                <w:numId w:val="3"/>
              </w:numPr>
            </w:pPr>
            <w:r>
              <w:t xml:space="preserve">Many firms that effectively ‘buy-off’ a complainant before a complaint is taken to OLC will benefit from the proposal in terms of reduced fees. This is not fair for firms who accept and comply with current OLC process. </w:t>
            </w:r>
          </w:p>
          <w:p w14:paraId="5D336D82" w14:textId="77777777" w:rsidR="007C3670" w:rsidRDefault="007C3670" w:rsidP="007C3670"/>
          <w:p w14:paraId="47A67206" w14:textId="31BE1C76" w:rsidR="00B07E4B" w:rsidRDefault="00B07E4B" w:rsidP="00D64518">
            <w:pPr>
              <w:pStyle w:val="ListParagraph"/>
              <w:numPr>
                <w:ilvl w:val="0"/>
                <w:numId w:val="3"/>
              </w:numPr>
            </w:pPr>
            <w:r>
              <w:t>The proposal will incentivise firms to pay out as much as £1000 to each complainant – this will be cost effective given the scale of the OLC usage fee levy. An associated drop in referrals from CLC firms will disrupt the OLC usage charging structure. The incentive for firms to ‘buy-off’ potential complaints needs to be removed.</w:t>
            </w:r>
          </w:p>
          <w:p w14:paraId="6556AB30" w14:textId="77777777" w:rsidR="007C3670" w:rsidRDefault="007C3670" w:rsidP="007C3670"/>
          <w:p w14:paraId="49693198" w14:textId="5CCEF6F0" w:rsidR="00B07E4B" w:rsidRPr="00DD3942" w:rsidRDefault="00B07E4B" w:rsidP="00D64518">
            <w:pPr>
              <w:pStyle w:val="ListParagraph"/>
              <w:numPr>
                <w:ilvl w:val="0"/>
                <w:numId w:val="3"/>
              </w:numPr>
            </w:pPr>
            <w:r>
              <w:rPr>
                <w:rFonts w:eastAsia="Times New Roman"/>
                <w:color w:val="000000"/>
                <w:sz w:val="24"/>
                <w:szCs w:val="24"/>
              </w:rPr>
              <w:t>We are concerned that the CLC is potentially using its powers on OLC Usage charging for an improper purpose, namely retention of membership, rather than simply passing increased costs to members according to established principles. </w:t>
            </w:r>
          </w:p>
          <w:p w14:paraId="0AE4486E" w14:textId="2A54AF4C" w:rsidR="00B07E4B" w:rsidRDefault="00B07E4B" w:rsidP="00DD3942"/>
          <w:p w14:paraId="0DD5C237" w14:textId="5C887605" w:rsidR="007C3670" w:rsidRDefault="007C3670" w:rsidP="00DD3942"/>
          <w:p w14:paraId="1741E9A1" w14:textId="77777777" w:rsidR="007C3670" w:rsidRDefault="007C3670" w:rsidP="00DD3942"/>
          <w:p w14:paraId="2B705B8D" w14:textId="37560947" w:rsidR="00B07E4B" w:rsidRDefault="00B07E4B" w:rsidP="00DD3942">
            <w:pPr>
              <w:rPr>
                <w:b/>
                <w:bCs/>
              </w:rPr>
            </w:pPr>
            <w:r>
              <w:rPr>
                <w:b/>
                <w:bCs/>
              </w:rPr>
              <w:t>OLC:</w:t>
            </w:r>
          </w:p>
          <w:p w14:paraId="625B5715" w14:textId="3066DE73" w:rsidR="00F50A06" w:rsidRDefault="00B07E4B" w:rsidP="00F50A06">
            <w:pPr>
              <w:pStyle w:val="ListParagraph"/>
              <w:numPr>
                <w:ilvl w:val="0"/>
                <w:numId w:val="2"/>
              </w:numPr>
            </w:pPr>
            <w:r>
              <w:t>Approach could encourage firms to make a commercial decision in order to avoid paying levy fees.</w:t>
            </w:r>
          </w:p>
          <w:p w14:paraId="47AA7333" w14:textId="77777777" w:rsidR="00F50A06" w:rsidRDefault="00F50A06" w:rsidP="00F50A06"/>
          <w:p w14:paraId="7CE62505" w14:textId="74881D7C" w:rsidR="00B07E4B" w:rsidRDefault="00B07E4B" w:rsidP="00DD3942">
            <w:pPr>
              <w:pStyle w:val="ListParagraph"/>
              <w:numPr>
                <w:ilvl w:val="0"/>
                <w:numId w:val="2"/>
              </w:numPr>
            </w:pPr>
            <w:r>
              <w:t>Proposal could distinguish between cases where there is evidence of poor and reasonable complaints handling and this could disadvantage those who take the correct steps to resolve at first tier. The OLC is happy to share this data and would be interested to see how it affects modelling.</w:t>
            </w:r>
          </w:p>
          <w:p w14:paraId="24E00C1E" w14:textId="04529A07" w:rsidR="00F50A06" w:rsidRDefault="00F50A06" w:rsidP="00F50A06"/>
          <w:p w14:paraId="6FEBB16B" w14:textId="40023C86" w:rsidR="00F50A06" w:rsidRDefault="00F50A06" w:rsidP="00F50A06"/>
          <w:p w14:paraId="30D8B4D3" w14:textId="77777777" w:rsidR="00F50A06" w:rsidRDefault="00F50A06" w:rsidP="00F50A06"/>
          <w:p w14:paraId="310DAEF5" w14:textId="231BCDC2" w:rsidR="00B07E4B" w:rsidRPr="00DD3942" w:rsidRDefault="00B07E4B" w:rsidP="007F3711">
            <w:pPr>
              <w:pStyle w:val="ListParagraph"/>
              <w:numPr>
                <w:ilvl w:val="0"/>
                <w:numId w:val="2"/>
              </w:numPr>
            </w:pPr>
            <w:r>
              <w:t>It is not proportionate to charge those who have dealt with complaints correctly and offered appropriate outcomes through an activity-based recharge model.</w:t>
            </w:r>
          </w:p>
          <w:p w14:paraId="1545C9AE" w14:textId="063FF4B6" w:rsidR="00B07E4B" w:rsidRPr="002B7F90" w:rsidRDefault="00B07E4B" w:rsidP="00D64518"/>
        </w:tc>
        <w:tc>
          <w:tcPr>
            <w:tcW w:w="6582" w:type="dxa"/>
          </w:tcPr>
          <w:p w14:paraId="3A9F1F4F" w14:textId="77777777" w:rsidR="00B07E4B" w:rsidRDefault="00B07E4B" w:rsidP="005D7E41">
            <w:pPr>
              <w:rPr>
                <w:b/>
                <w:bCs/>
              </w:rPr>
            </w:pPr>
          </w:p>
          <w:p w14:paraId="3D3FDB7F" w14:textId="77777777" w:rsidR="00891111" w:rsidRDefault="00891111" w:rsidP="005D7E41">
            <w:pPr>
              <w:rPr>
                <w:b/>
                <w:bCs/>
              </w:rPr>
            </w:pPr>
          </w:p>
          <w:p w14:paraId="5301ACDA" w14:textId="77777777" w:rsidR="00891111" w:rsidRDefault="00891111" w:rsidP="005D7E41">
            <w:pPr>
              <w:rPr>
                <w:b/>
                <w:bCs/>
              </w:rPr>
            </w:pPr>
          </w:p>
          <w:p w14:paraId="44EFD1E4" w14:textId="08676411" w:rsidR="00666C34" w:rsidRDefault="00891111" w:rsidP="005D7E41">
            <w:r>
              <w:t xml:space="preserve">The key point raised in these responses </w:t>
            </w:r>
            <w:r w:rsidR="00834538">
              <w:t>is</w:t>
            </w:r>
            <w:r>
              <w:t xml:space="preserve"> that the model will create a</w:t>
            </w:r>
            <w:r w:rsidR="00666C34">
              <w:t xml:space="preserve">n </w:t>
            </w:r>
            <w:r>
              <w:t xml:space="preserve">incentive for practices to offer </w:t>
            </w:r>
            <w:r w:rsidR="00834538">
              <w:t xml:space="preserve">at first tier </w:t>
            </w:r>
            <w:r>
              <w:t xml:space="preserve">more compensation than a complaint merits </w:t>
            </w:r>
            <w:r w:rsidR="00834538">
              <w:t xml:space="preserve">in order to avoid the </w:t>
            </w:r>
            <w:r w:rsidR="00A65FA4">
              <w:t xml:space="preserve">potential </w:t>
            </w:r>
            <w:r w:rsidR="00834538">
              <w:t xml:space="preserve">expense of a referral to the OLC. </w:t>
            </w:r>
            <w:r w:rsidR="00666C34">
              <w:t xml:space="preserve">We propose to monitor trends in first tier and second tier complaints to understand how their handling might be changing under the new model. </w:t>
            </w:r>
            <w:r w:rsidR="004672BD">
              <w:t>We will encourage practices to make changes to their process, service levels and complaint handling to try and address the number of referrals to the OLC. We recognise that there will always be complaints that need to be referred for adjudication, however with the high cost of the OLC service and the continuing increase in CLC cases, we need to ensure that practices manage complaint handling effectively so that the whole regulatory community doesn’t suffer with the increased cost.</w:t>
            </w:r>
          </w:p>
          <w:p w14:paraId="59A2DB80" w14:textId="2E380934" w:rsidR="00666C34" w:rsidRDefault="00666C34" w:rsidP="005D7E41"/>
          <w:p w14:paraId="36C5CEE8" w14:textId="77777777" w:rsidR="0006736E" w:rsidRDefault="0006736E" w:rsidP="005D7E41"/>
          <w:p w14:paraId="0F68E554" w14:textId="5D527248" w:rsidR="00666C34" w:rsidRDefault="00666C34" w:rsidP="005D7E41">
            <w:r>
              <w:t xml:space="preserve">Second tier complaints that can be resolved without a decision by the OLC are likely to be complaints that could have been resolved successfully at first tier. One of the main ambitions of the new model is to incentivise practices to improve complaints handling to reduce referrals to OLC. </w:t>
            </w:r>
          </w:p>
          <w:p w14:paraId="419358FD" w14:textId="01769800" w:rsidR="00A65FA4" w:rsidRDefault="00A65FA4" w:rsidP="005D7E41"/>
          <w:p w14:paraId="3DB1F7D7" w14:textId="3A322883" w:rsidR="004672BD" w:rsidRDefault="004672BD" w:rsidP="004672BD">
            <w:r>
              <w:t>The CLC and the profession are in a difficult position. OLC costs are increasing due to fewer case numbers overall and a larger proportion being allocated to CLC regulated practices. This trend is at odds with practices from other regulators. We need to tackle the rising case numbers by allocating the cost to those practices with high case numbers, this should incentivise them to address the issues and reduce the incidence of cases being referred. Paying off clients and not addressing underlying procedural issues is not an acceptable means of resolving the problems and will be closely monitored.</w:t>
            </w:r>
          </w:p>
          <w:p w14:paraId="3148EB61" w14:textId="557AAE25" w:rsidR="00B84E0E" w:rsidRDefault="00B84E0E" w:rsidP="004672BD"/>
          <w:p w14:paraId="5E77AD56" w14:textId="5ED149BC" w:rsidR="00B84E0E" w:rsidRDefault="00B84E0E" w:rsidP="004672BD">
            <w:r>
              <w:t>Comparably sized practices can have very different numbers of complaints. This may be due to a policy of settling claims, however service levels and complaint handling must be a factor in these differences.</w:t>
            </w:r>
          </w:p>
          <w:p w14:paraId="1E068C56" w14:textId="7C428D50" w:rsidR="00B84E0E" w:rsidRDefault="00B84E0E" w:rsidP="004672BD"/>
          <w:p w14:paraId="3163EB00" w14:textId="0928BF4D" w:rsidR="004672BD" w:rsidRDefault="00B84E0E" w:rsidP="005D7E41">
            <w:r>
              <w:t>We have also noted a correlation between practices with very high case numbers, consumer complaints to the CLC and conduct referrals to the CLC from the OLC. This supports the concern that these practices do have weaknesses in their service levels and complaint handling processes.</w:t>
            </w:r>
          </w:p>
          <w:p w14:paraId="353D4198" w14:textId="77777777" w:rsidR="004672BD" w:rsidRDefault="004672BD" w:rsidP="005D7E41"/>
          <w:p w14:paraId="34746FCB" w14:textId="77777777" w:rsidR="00AD0E30" w:rsidRDefault="00AD0E30" w:rsidP="005D7E41"/>
          <w:p w14:paraId="77BDCA94" w14:textId="1A0106F4" w:rsidR="00A65FA4" w:rsidRDefault="00666C34" w:rsidP="005D7E41">
            <w:r>
              <w:t>The impact of the pandemic and the land tax holidays on the level of complaints is not know</w:t>
            </w:r>
            <w:r w:rsidR="0006736E">
              <w:t>n</w:t>
            </w:r>
            <w:r>
              <w:t xml:space="preserve"> yet, but there is no reason to amend the model </w:t>
            </w:r>
            <w:proofErr w:type="gramStart"/>
            <w:r>
              <w:t>on the basis of</w:t>
            </w:r>
            <w:proofErr w:type="gramEnd"/>
            <w:r>
              <w:t xml:space="preserve"> the proportion of transactions that give rise to a complaint. Indeed, increases could signal a need for even close</w:t>
            </w:r>
            <w:r w:rsidR="00E9296A">
              <w:t>r</w:t>
            </w:r>
            <w:r>
              <w:t xml:space="preserve"> attention to complaints handling. </w:t>
            </w:r>
          </w:p>
          <w:p w14:paraId="09201F95" w14:textId="77777777" w:rsidR="00666C34" w:rsidRDefault="00666C34" w:rsidP="005D7E41"/>
          <w:p w14:paraId="19DE2543" w14:textId="77777777" w:rsidR="00AD0E30" w:rsidRDefault="00AD0E30" w:rsidP="005D7E41"/>
          <w:p w14:paraId="3D9500F8" w14:textId="77777777" w:rsidR="00AD0E30" w:rsidRDefault="00AD0E30" w:rsidP="005D7E41"/>
          <w:p w14:paraId="447171FF" w14:textId="77777777" w:rsidR="00AD0E30" w:rsidRDefault="00AD0E30" w:rsidP="005D7E41"/>
          <w:p w14:paraId="5C263307" w14:textId="77777777" w:rsidR="00AD0E30" w:rsidRDefault="00AD0E30" w:rsidP="005D7E41"/>
          <w:p w14:paraId="1BB745D8" w14:textId="77777777" w:rsidR="00AD0E30" w:rsidRDefault="00AD0E30" w:rsidP="005D7E41"/>
          <w:p w14:paraId="1C2BDE65" w14:textId="33F5EF39" w:rsidR="00E9296A" w:rsidRDefault="00671531" w:rsidP="005D7E41">
            <w:r>
              <w:t xml:space="preserve">We expect that the new model will ensure that practices understand better the implications of a referral to the OLC and make greater efforts to avoid referrals. </w:t>
            </w:r>
            <w:r w:rsidR="0006736E">
              <w:t>A</w:t>
            </w:r>
            <w:r w:rsidR="00E9296A">
              <w:t xml:space="preserve">ll complaints referred to the OLC contribute to the costs of the organisation, not only those where there is a decision in favour of the complainant. </w:t>
            </w:r>
          </w:p>
          <w:p w14:paraId="3BCF3253" w14:textId="77777777" w:rsidR="00E9296A" w:rsidRDefault="00E9296A" w:rsidP="005D7E41"/>
          <w:p w14:paraId="4982131D" w14:textId="77777777" w:rsidR="00AD0E30" w:rsidRDefault="00AD0E30" w:rsidP="005D7E41"/>
          <w:p w14:paraId="256157C2" w14:textId="1E2420B8" w:rsidR="00257124" w:rsidRDefault="00B84E0E" w:rsidP="005D7E41">
            <w:r>
              <w:t xml:space="preserve">The proposed method of charging practices directly mirrors the way the OLC allocated cost to the CLC (by using a </w:t>
            </w:r>
            <w:proofErr w:type="gramStart"/>
            <w:r>
              <w:t>3 year</w:t>
            </w:r>
            <w:proofErr w:type="gramEnd"/>
            <w:r>
              <w:t xml:space="preserve"> average of case numbers) If the LSB and the OLC deem this acceptable and fair then it would be reasonable to pass it on to practices using the same allocation model.</w:t>
            </w:r>
          </w:p>
          <w:p w14:paraId="6B07FCDF" w14:textId="77777777" w:rsidR="00AD0E30" w:rsidRDefault="00AD0E30" w:rsidP="005D7E41"/>
          <w:p w14:paraId="4EEF2874" w14:textId="2C7CE289" w:rsidR="00E9296A" w:rsidRDefault="00E9296A" w:rsidP="005D7E41">
            <w:r>
              <w:t>Given that the number of complaints upheld by the OLC is a comparatively small proportion of complaints referred, the distribution of cost</w:t>
            </w:r>
            <w:r w:rsidR="000A76F0">
              <w:t xml:space="preserve"> would be skewed </w:t>
            </w:r>
            <w:r w:rsidR="0006736E">
              <w:t xml:space="preserve">extremely </w:t>
            </w:r>
            <w:r w:rsidR="000A76F0">
              <w:t xml:space="preserve">to those practices </w:t>
            </w:r>
            <w:r w:rsidR="0006736E">
              <w:t>that</w:t>
            </w:r>
            <w:r w:rsidR="000A76F0">
              <w:t xml:space="preserve"> had a complaint upheld</w:t>
            </w:r>
            <w:r w:rsidR="0006736E">
              <w:t>. This could result in the contribution to OLC costs for those firms</w:t>
            </w:r>
            <w:r w:rsidR="000A76F0">
              <w:t xml:space="preserve"> </w:t>
            </w:r>
            <w:r w:rsidR="0006736E">
              <w:t>resembling</w:t>
            </w:r>
            <w:r w:rsidR="000A76F0">
              <w:t xml:space="preserve"> a punitive fine rather than cost recovery. </w:t>
            </w:r>
            <w:r w:rsidR="0006736E">
              <w:t xml:space="preserve">The alternative would be to </w:t>
            </w:r>
            <w:r w:rsidR="000A76F0">
              <w:t>charg</w:t>
            </w:r>
            <w:r w:rsidR="0006736E">
              <w:t>e</w:t>
            </w:r>
            <w:r w:rsidR="000A76F0">
              <w:t xml:space="preserve"> those practices the costs of their complaint and requir</w:t>
            </w:r>
            <w:r w:rsidR="0006736E">
              <w:t>e</w:t>
            </w:r>
            <w:r w:rsidR="000A76F0">
              <w:t xml:space="preserve"> the entire regulated community to continue to fund the costs of the OLC in cases where the complaint is not upheld</w:t>
            </w:r>
            <w:r w:rsidR="0006736E">
              <w:t xml:space="preserve">. This </w:t>
            </w:r>
            <w:r w:rsidR="000A76F0">
              <w:t xml:space="preserve">would continue to see many firms paying disproportionately high contributions. </w:t>
            </w:r>
          </w:p>
          <w:p w14:paraId="135F7A32" w14:textId="77777777" w:rsidR="000A76F0" w:rsidRDefault="000A76F0" w:rsidP="005D7E41"/>
          <w:p w14:paraId="3EEBDE4F" w14:textId="7B3F92BC" w:rsidR="000A76F0" w:rsidRDefault="00257124" w:rsidP="005D7E41">
            <w:r>
              <w:t>Not all practices will see increased or significantly increased costs only</w:t>
            </w:r>
            <w:r w:rsidR="000A76F0">
              <w:t xml:space="preserve"> those that have disproportionate levels of complaints </w:t>
            </w:r>
            <w:r w:rsidR="007C3670">
              <w:t>referred to the OLC</w:t>
            </w:r>
            <w:r>
              <w:t xml:space="preserve"> are likely to see material cost increases</w:t>
            </w:r>
            <w:r w:rsidR="007C3670">
              <w:t xml:space="preserve">. The new model addresses the disproportionate costs currently borne by those practices that have few or no referrals to the OLC. </w:t>
            </w:r>
            <w:r>
              <w:t xml:space="preserve">The reduction of the practice fee to offset some of the OLC cost, means that practices can still have a reasonable number of cases without incurring additional regulatory cost. </w:t>
            </w:r>
          </w:p>
          <w:p w14:paraId="2797F81B" w14:textId="77777777" w:rsidR="00AD0E30" w:rsidRDefault="00AD0E30" w:rsidP="005D7E41"/>
          <w:p w14:paraId="0F7C8076" w14:textId="71F19E94" w:rsidR="00257124" w:rsidRDefault="00257124" w:rsidP="005D7E41">
            <w:r>
              <w:t>The CLC will encourage practices to improve service levels and complaint handling rather than pay off clients and not dealing with underlying service issues. The CLC intends to monitor this and will</w:t>
            </w:r>
            <w:r w:rsidR="00AD0E30">
              <w:t>,</w:t>
            </w:r>
            <w:r>
              <w:t xml:space="preserve"> if necessary, </w:t>
            </w:r>
            <w:proofErr w:type="gramStart"/>
            <w:r>
              <w:t>take action</w:t>
            </w:r>
            <w:proofErr w:type="gramEnd"/>
            <w:r>
              <w:t xml:space="preserve"> against this type of behaviour.</w:t>
            </w:r>
          </w:p>
          <w:p w14:paraId="1F89813B" w14:textId="77777777" w:rsidR="0006736E" w:rsidRDefault="0006736E" w:rsidP="005D7E41"/>
          <w:p w14:paraId="068A1206" w14:textId="2FBF998A" w:rsidR="007C3670" w:rsidRDefault="007C3670" w:rsidP="005D7E41">
            <w:r>
              <w:t xml:space="preserve">As outlined above, the CLC will monitor trends in complaints handling at first and second tier closely to understand the impact of the new model. The CLC’s share of the OLC caseload is not such that changes to it </w:t>
            </w:r>
            <w:r w:rsidR="0006736E">
              <w:t>should</w:t>
            </w:r>
            <w:r>
              <w:t xml:space="preserve"> have any significant impact on the OLC’s costs and charging structure. </w:t>
            </w:r>
          </w:p>
          <w:p w14:paraId="733C98AD" w14:textId="77777777" w:rsidR="007C3670" w:rsidRDefault="007C3670" w:rsidP="005D7E41"/>
          <w:p w14:paraId="31F709E9" w14:textId="77777777" w:rsidR="007C3670" w:rsidRDefault="007C3670" w:rsidP="005D7E41">
            <w:r>
              <w:t xml:space="preserve">The intention of the proposals is to apportion the OLC’s costs more fairly. Rather than driving retention of firms in regulation by the CLC, there may be a risk that firms with high levels of complaints are attracted to move to another regulator that follows a charging model closer to the CLC’s current one. </w:t>
            </w:r>
          </w:p>
          <w:p w14:paraId="66AE05E6" w14:textId="77777777" w:rsidR="007C3670" w:rsidRDefault="007C3670" w:rsidP="005D7E41"/>
          <w:p w14:paraId="558B4404" w14:textId="77777777" w:rsidR="007C3670" w:rsidRDefault="007C3670" w:rsidP="005D7E41"/>
          <w:p w14:paraId="5B7284D4" w14:textId="77777777" w:rsidR="00257124" w:rsidRDefault="00257124" w:rsidP="005D7E41"/>
          <w:p w14:paraId="6E8AE959" w14:textId="77777777" w:rsidR="00257124" w:rsidRDefault="00257124" w:rsidP="005D7E41"/>
          <w:p w14:paraId="0B33980A" w14:textId="77777777" w:rsidR="00257124" w:rsidRDefault="00257124" w:rsidP="005D7E41"/>
          <w:p w14:paraId="55DEFED5" w14:textId="5D5D79D1" w:rsidR="00257124" w:rsidRDefault="00257124" w:rsidP="005D7E41"/>
          <w:p w14:paraId="6617300C" w14:textId="229B367F" w:rsidR="00AD0E30" w:rsidRDefault="00AD0E30" w:rsidP="005D7E41"/>
          <w:p w14:paraId="37865C76" w14:textId="77777777" w:rsidR="00AD0E30" w:rsidRDefault="00AD0E30" w:rsidP="005D7E41"/>
          <w:p w14:paraId="32FAE96F" w14:textId="77777777" w:rsidR="00257124" w:rsidRDefault="00257124" w:rsidP="005D7E41"/>
          <w:p w14:paraId="6FFDC806" w14:textId="77777777" w:rsidR="00257124" w:rsidRDefault="00257124" w:rsidP="005D7E41"/>
          <w:p w14:paraId="170658BD" w14:textId="5EDA18FF" w:rsidR="007C3670" w:rsidRDefault="00904F41" w:rsidP="005D7E41">
            <w:r>
              <w:t xml:space="preserve">As outlined above, the CLC, with the assistance of the OLC, will monitor closely the impact of </w:t>
            </w:r>
            <w:r w:rsidR="00F50A06">
              <w:t xml:space="preserve">the new model on complaints handling at first and second tier. </w:t>
            </w:r>
          </w:p>
          <w:p w14:paraId="7B4BF0D3" w14:textId="77777777" w:rsidR="00F50A06" w:rsidRDefault="00F50A06" w:rsidP="005D7E41"/>
          <w:p w14:paraId="3706C09C" w14:textId="59F7A734" w:rsidR="00F50A06" w:rsidRDefault="00F50A06" w:rsidP="005D7E41">
            <w:r>
              <w:t xml:space="preserve">We have asked the OLC to work with us to review this data to see its impact, but our belief is that it would skew the costs too heavily to a small number of practices or require firms with low or no complaints to continue to pay a disproportionate share of the OLC’s costs. </w:t>
            </w:r>
          </w:p>
          <w:p w14:paraId="47B0283C" w14:textId="64721A59" w:rsidR="00F50A06" w:rsidRDefault="00F50A06" w:rsidP="005D7E41"/>
          <w:p w14:paraId="0869B2A9" w14:textId="0CD65D5F" w:rsidR="0006736E" w:rsidRDefault="0006736E" w:rsidP="005D7E41"/>
          <w:p w14:paraId="16C8B312" w14:textId="77777777" w:rsidR="0006736E" w:rsidRDefault="0006736E" w:rsidP="005D7E41"/>
          <w:p w14:paraId="7D879459" w14:textId="77777777" w:rsidR="00AD0E30" w:rsidRDefault="00AD0E30" w:rsidP="005D7E41"/>
          <w:p w14:paraId="6EF7597B" w14:textId="77777777" w:rsidR="00AD0E30" w:rsidRDefault="00AD0E30" w:rsidP="005D7E41"/>
          <w:p w14:paraId="42875C6B" w14:textId="77777777" w:rsidR="00AD0E30" w:rsidRDefault="00AD0E30" w:rsidP="005D7E41"/>
          <w:p w14:paraId="0CEF9318" w14:textId="77777777" w:rsidR="00AD0E30" w:rsidRDefault="00AD0E30" w:rsidP="005D7E41"/>
          <w:p w14:paraId="122B1CD8" w14:textId="77777777" w:rsidR="00AD0E30" w:rsidRDefault="00AD0E30" w:rsidP="005D7E41"/>
          <w:p w14:paraId="4B3CD203" w14:textId="5DEAC241" w:rsidR="00F50A06" w:rsidRPr="00891111" w:rsidRDefault="00F50A06" w:rsidP="005D7E41">
            <w:proofErr w:type="gramStart"/>
            <w:r>
              <w:t>At the moment</w:t>
            </w:r>
            <w:proofErr w:type="gramEnd"/>
            <w:r>
              <w:t xml:space="preserve">, practices with few or no complaints referred to OLC are paying disproportionately for the costs of the organisation. </w:t>
            </w:r>
            <w:r w:rsidR="0006736E">
              <w:t xml:space="preserve">Basing charges on usage is a fairer method than a general levy. </w:t>
            </w:r>
          </w:p>
        </w:tc>
      </w:tr>
      <w:tr w:rsidR="00B07E4B" w14:paraId="7AF9DD55" w14:textId="62E10867" w:rsidTr="00C97583">
        <w:tc>
          <w:tcPr>
            <w:tcW w:w="7366" w:type="dxa"/>
            <w:gridSpan w:val="3"/>
            <w:shd w:val="clear" w:color="auto" w:fill="DEEAF6" w:themeFill="accent5" w:themeFillTint="33"/>
          </w:tcPr>
          <w:p w14:paraId="64ADCF62" w14:textId="572DDDFC" w:rsidR="00B07E4B" w:rsidRPr="00851CB6" w:rsidRDefault="00B07E4B" w:rsidP="005D7E41">
            <w:pPr>
              <w:rPr>
                <w:b/>
                <w:bCs/>
              </w:rPr>
            </w:pPr>
            <w:r>
              <w:rPr>
                <w:b/>
                <w:bCs/>
              </w:rPr>
              <w:t>Part 2: Practice fee banding</w:t>
            </w:r>
          </w:p>
        </w:tc>
        <w:tc>
          <w:tcPr>
            <w:tcW w:w="6582" w:type="dxa"/>
            <w:shd w:val="clear" w:color="auto" w:fill="DEEAF6" w:themeFill="accent5" w:themeFillTint="33"/>
          </w:tcPr>
          <w:p w14:paraId="6E0C44A9" w14:textId="77777777" w:rsidR="00B07E4B" w:rsidRDefault="00B07E4B" w:rsidP="005D7E41">
            <w:pPr>
              <w:rPr>
                <w:b/>
                <w:bCs/>
              </w:rPr>
            </w:pPr>
          </w:p>
        </w:tc>
      </w:tr>
      <w:tr w:rsidR="00B07E4B" w14:paraId="2BC05AD5" w14:textId="0A83C648" w:rsidTr="00C97583">
        <w:tc>
          <w:tcPr>
            <w:tcW w:w="441" w:type="dxa"/>
          </w:tcPr>
          <w:p w14:paraId="5EACF3F2" w14:textId="064A17B1" w:rsidR="00B07E4B" w:rsidRDefault="00B07E4B" w:rsidP="00851CB6">
            <w:r>
              <w:t>5</w:t>
            </w:r>
          </w:p>
        </w:tc>
        <w:tc>
          <w:tcPr>
            <w:tcW w:w="2872" w:type="dxa"/>
            <w:tcBorders>
              <w:top w:val="single" w:sz="4" w:space="0" w:color="auto"/>
              <w:left w:val="nil"/>
              <w:bottom w:val="single" w:sz="4" w:space="0" w:color="auto"/>
              <w:right w:val="nil"/>
            </w:tcBorders>
            <w:shd w:val="clear" w:color="auto" w:fill="auto"/>
            <w:vAlign w:val="bottom"/>
          </w:tcPr>
          <w:p w14:paraId="2C1784AD" w14:textId="15FF2452" w:rsidR="00B07E4B" w:rsidRDefault="00B07E4B" w:rsidP="00851CB6">
            <w:r>
              <w:rPr>
                <w:rFonts w:ascii="Calibri" w:hAnsi="Calibri" w:cs="Calibri"/>
                <w:color w:val="000000"/>
              </w:rPr>
              <w:t>Do you agree with the CLC proposal to increase the number of fee bands?</w:t>
            </w:r>
          </w:p>
        </w:tc>
        <w:tc>
          <w:tcPr>
            <w:tcW w:w="4053" w:type="dxa"/>
          </w:tcPr>
          <w:p w14:paraId="0EEB2264" w14:textId="77777777" w:rsidR="00B07E4B" w:rsidRDefault="00B07E4B" w:rsidP="00851CB6">
            <w:r>
              <w:t xml:space="preserve">SLC, Simplify and CLH responded </w:t>
            </w:r>
            <w:r w:rsidRPr="00A366B4">
              <w:rPr>
                <w:b/>
                <w:bCs/>
              </w:rPr>
              <w:t>Yes.</w:t>
            </w:r>
          </w:p>
          <w:p w14:paraId="1D499AB2" w14:textId="3BC31F86" w:rsidR="00B07E4B" w:rsidRDefault="00B07E4B" w:rsidP="00851CB6">
            <w:proofErr w:type="spellStart"/>
            <w:r>
              <w:t>Muve</w:t>
            </w:r>
            <w:proofErr w:type="spellEnd"/>
            <w:r>
              <w:t xml:space="preserve"> and OLC did not respond.</w:t>
            </w:r>
          </w:p>
        </w:tc>
        <w:tc>
          <w:tcPr>
            <w:tcW w:w="6582" w:type="dxa"/>
          </w:tcPr>
          <w:p w14:paraId="7C5A620A" w14:textId="4BADA033" w:rsidR="00B07E4B" w:rsidRDefault="0055016C" w:rsidP="00851CB6">
            <w:r>
              <w:t xml:space="preserve">The proposal was supported. </w:t>
            </w:r>
          </w:p>
        </w:tc>
      </w:tr>
      <w:tr w:rsidR="00B07E4B" w14:paraId="70C570E4" w14:textId="106B8B8E" w:rsidTr="00C97583">
        <w:tc>
          <w:tcPr>
            <w:tcW w:w="441" w:type="dxa"/>
          </w:tcPr>
          <w:p w14:paraId="0D6971C0" w14:textId="637B8304" w:rsidR="00B07E4B" w:rsidRDefault="00B07E4B" w:rsidP="00851CB6">
            <w:r>
              <w:t>6</w:t>
            </w:r>
          </w:p>
        </w:tc>
        <w:tc>
          <w:tcPr>
            <w:tcW w:w="2872" w:type="dxa"/>
            <w:tcBorders>
              <w:top w:val="single" w:sz="4" w:space="0" w:color="auto"/>
              <w:left w:val="nil"/>
              <w:bottom w:val="single" w:sz="4" w:space="0" w:color="auto"/>
              <w:right w:val="nil"/>
            </w:tcBorders>
            <w:shd w:val="clear" w:color="auto" w:fill="auto"/>
            <w:vAlign w:val="bottom"/>
          </w:tcPr>
          <w:p w14:paraId="213D9A75" w14:textId="782122DF" w:rsidR="00B07E4B" w:rsidRDefault="00B07E4B" w:rsidP="00851CB6">
            <w:r>
              <w:rPr>
                <w:rFonts w:ascii="Calibri" w:hAnsi="Calibri" w:cs="Calibri"/>
                <w:color w:val="000000"/>
              </w:rPr>
              <w:t>Do you think that additional bands should be added, over and above those being proposed? – if so, please specify.</w:t>
            </w:r>
          </w:p>
        </w:tc>
        <w:tc>
          <w:tcPr>
            <w:tcW w:w="4053" w:type="dxa"/>
          </w:tcPr>
          <w:p w14:paraId="5F02A60A" w14:textId="39EEBEDE" w:rsidR="00B07E4B" w:rsidRDefault="00B07E4B" w:rsidP="00A366B4">
            <w:r>
              <w:t xml:space="preserve">SLC, Simplify and CLH responded </w:t>
            </w:r>
            <w:r w:rsidRPr="00A366B4">
              <w:rPr>
                <w:b/>
                <w:bCs/>
              </w:rPr>
              <w:t>No.</w:t>
            </w:r>
          </w:p>
          <w:p w14:paraId="535B4DD3" w14:textId="03A8C67F" w:rsidR="00B07E4B" w:rsidRDefault="00B07E4B" w:rsidP="00A366B4">
            <w:proofErr w:type="spellStart"/>
            <w:r>
              <w:t>Muve</w:t>
            </w:r>
            <w:proofErr w:type="spellEnd"/>
            <w:r>
              <w:t xml:space="preserve"> and OLC did not respond.</w:t>
            </w:r>
          </w:p>
        </w:tc>
        <w:tc>
          <w:tcPr>
            <w:tcW w:w="6582" w:type="dxa"/>
          </w:tcPr>
          <w:p w14:paraId="6F148277" w14:textId="77777777" w:rsidR="00B07E4B" w:rsidRDefault="0055016C" w:rsidP="00A366B4">
            <w:r>
              <w:t xml:space="preserve">No additional bands were suggested. </w:t>
            </w:r>
          </w:p>
          <w:p w14:paraId="5E990E62" w14:textId="77777777" w:rsidR="0055016C" w:rsidRDefault="0055016C" w:rsidP="00A366B4"/>
          <w:p w14:paraId="08D58082" w14:textId="2BCC5C28" w:rsidR="0055016C" w:rsidRDefault="0055016C" w:rsidP="00A366B4"/>
        </w:tc>
      </w:tr>
      <w:tr w:rsidR="00B07E4B" w14:paraId="0875C166" w14:textId="40880F5A" w:rsidTr="00C97583">
        <w:tc>
          <w:tcPr>
            <w:tcW w:w="441" w:type="dxa"/>
          </w:tcPr>
          <w:p w14:paraId="6188C17A" w14:textId="145E269E" w:rsidR="00B07E4B" w:rsidRDefault="00B07E4B" w:rsidP="00851CB6">
            <w:r>
              <w:t>7</w:t>
            </w:r>
          </w:p>
        </w:tc>
        <w:tc>
          <w:tcPr>
            <w:tcW w:w="2872" w:type="dxa"/>
            <w:tcBorders>
              <w:top w:val="single" w:sz="4" w:space="0" w:color="auto"/>
              <w:left w:val="nil"/>
              <w:bottom w:val="single" w:sz="4" w:space="0" w:color="auto"/>
              <w:right w:val="nil"/>
            </w:tcBorders>
            <w:shd w:val="clear" w:color="auto" w:fill="auto"/>
            <w:vAlign w:val="bottom"/>
          </w:tcPr>
          <w:p w14:paraId="56735FD4" w14:textId="2A43B0FC" w:rsidR="00B07E4B" w:rsidRDefault="00B07E4B" w:rsidP="00851CB6">
            <w:r>
              <w:rPr>
                <w:rFonts w:ascii="Calibri" w:hAnsi="Calibri" w:cs="Calibri"/>
                <w:color w:val="000000"/>
              </w:rPr>
              <w:t>Do you agree with the principal of reducing fee rates as turnover increases?</w:t>
            </w:r>
          </w:p>
        </w:tc>
        <w:tc>
          <w:tcPr>
            <w:tcW w:w="4053" w:type="dxa"/>
          </w:tcPr>
          <w:p w14:paraId="1C317395" w14:textId="77777777" w:rsidR="00B07E4B" w:rsidRDefault="00B07E4B" w:rsidP="00851CB6">
            <w:pPr>
              <w:rPr>
                <w:b/>
                <w:bCs/>
              </w:rPr>
            </w:pPr>
            <w:r>
              <w:t xml:space="preserve">SLC and Simplify said </w:t>
            </w:r>
            <w:r>
              <w:rPr>
                <w:b/>
                <w:bCs/>
              </w:rPr>
              <w:t>Yes.</w:t>
            </w:r>
          </w:p>
          <w:p w14:paraId="79C67541" w14:textId="77777777" w:rsidR="00B07E4B" w:rsidRDefault="00B07E4B" w:rsidP="00851CB6">
            <w:pPr>
              <w:rPr>
                <w:b/>
                <w:bCs/>
              </w:rPr>
            </w:pPr>
            <w:r>
              <w:t xml:space="preserve">CLH said </w:t>
            </w:r>
            <w:r>
              <w:rPr>
                <w:b/>
                <w:bCs/>
              </w:rPr>
              <w:t>No.</w:t>
            </w:r>
          </w:p>
          <w:p w14:paraId="2330212F" w14:textId="2476B23C" w:rsidR="00B07E4B" w:rsidRPr="00A366B4" w:rsidRDefault="00B07E4B" w:rsidP="00851CB6">
            <w:proofErr w:type="spellStart"/>
            <w:r>
              <w:t>Muve</w:t>
            </w:r>
            <w:proofErr w:type="spellEnd"/>
            <w:r>
              <w:t xml:space="preserve"> and OLC did not respond.</w:t>
            </w:r>
          </w:p>
        </w:tc>
        <w:tc>
          <w:tcPr>
            <w:tcW w:w="6582" w:type="dxa"/>
          </w:tcPr>
          <w:p w14:paraId="3EC1D67F" w14:textId="549E48FE" w:rsidR="00B07E4B" w:rsidRDefault="003268CC" w:rsidP="00851CB6">
            <w:r>
              <w:t xml:space="preserve">Opinion was divided. The CLC considers that a degree of tapering in fee rates is needed to ensure to deliver a more proportionate division of costs. </w:t>
            </w:r>
          </w:p>
        </w:tc>
      </w:tr>
      <w:tr w:rsidR="00B07E4B" w14:paraId="5C09C697" w14:textId="37E6665B" w:rsidTr="00C97583">
        <w:tc>
          <w:tcPr>
            <w:tcW w:w="441" w:type="dxa"/>
          </w:tcPr>
          <w:p w14:paraId="288917CF" w14:textId="7AFC4008" w:rsidR="00B07E4B" w:rsidRDefault="00B07E4B" w:rsidP="00851CB6">
            <w:r>
              <w:t>8</w:t>
            </w:r>
          </w:p>
        </w:tc>
        <w:tc>
          <w:tcPr>
            <w:tcW w:w="2872" w:type="dxa"/>
            <w:tcBorders>
              <w:top w:val="single" w:sz="4" w:space="0" w:color="auto"/>
              <w:left w:val="nil"/>
              <w:bottom w:val="single" w:sz="4" w:space="0" w:color="auto"/>
              <w:right w:val="nil"/>
            </w:tcBorders>
            <w:shd w:val="clear" w:color="auto" w:fill="auto"/>
            <w:vAlign w:val="bottom"/>
          </w:tcPr>
          <w:p w14:paraId="2E632B0E" w14:textId="01E983A6" w:rsidR="00B07E4B" w:rsidRDefault="00B07E4B" w:rsidP="00851CB6">
            <w:r>
              <w:rPr>
                <w:rFonts w:ascii="Calibri" w:hAnsi="Calibri" w:cs="Calibri"/>
                <w:color w:val="000000"/>
              </w:rPr>
              <w:t>Do you agree that we should be charging a minimum fee on turnovers under £100,000?</w:t>
            </w:r>
          </w:p>
        </w:tc>
        <w:tc>
          <w:tcPr>
            <w:tcW w:w="4053" w:type="dxa"/>
          </w:tcPr>
          <w:p w14:paraId="2DCF30A1" w14:textId="77777777" w:rsidR="00B07E4B" w:rsidRDefault="00B07E4B" w:rsidP="00851CB6">
            <w:pPr>
              <w:rPr>
                <w:b/>
                <w:bCs/>
              </w:rPr>
            </w:pPr>
            <w:r>
              <w:t xml:space="preserve">SLC, Simplify, and CLH said </w:t>
            </w:r>
            <w:r>
              <w:rPr>
                <w:b/>
                <w:bCs/>
              </w:rPr>
              <w:t>Yes.</w:t>
            </w:r>
          </w:p>
          <w:p w14:paraId="2D777D2C" w14:textId="016E8ADC" w:rsidR="00B07E4B" w:rsidRPr="00A366B4" w:rsidRDefault="00B07E4B" w:rsidP="00851CB6">
            <w:proofErr w:type="spellStart"/>
            <w:r>
              <w:t>Muve</w:t>
            </w:r>
            <w:proofErr w:type="spellEnd"/>
            <w:r>
              <w:t xml:space="preserve"> and OLC did not respond.</w:t>
            </w:r>
          </w:p>
        </w:tc>
        <w:tc>
          <w:tcPr>
            <w:tcW w:w="6582" w:type="dxa"/>
          </w:tcPr>
          <w:p w14:paraId="1CF18162" w14:textId="2394CB7F" w:rsidR="00B07E4B" w:rsidRDefault="0055016C" w:rsidP="00851CB6">
            <w:r w:rsidRPr="0055016C">
              <w:t>The proposal was supported.</w:t>
            </w:r>
          </w:p>
        </w:tc>
      </w:tr>
      <w:tr w:rsidR="00B07E4B" w14:paraId="49AA9447" w14:textId="3C1ED87E" w:rsidTr="00C97583">
        <w:tc>
          <w:tcPr>
            <w:tcW w:w="441" w:type="dxa"/>
          </w:tcPr>
          <w:p w14:paraId="7E14853D" w14:textId="3A315B6F" w:rsidR="00B07E4B" w:rsidRDefault="00B07E4B" w:rsidP="00851CB6">
            <w:r>
              <w:t>9</w:t>
            </w:r>
          </w:p>
        </w:tc>
        <w:tc>
          <w:tcPr>
            <w:tcW w:w="2872" w:type="dxa"/>
            <w:tcBorders>
              <w:top w:val="single" w:sz="4" w:space="0" w:color="auto"/>
              <w:left w:val="nil"/>
              <w:bottom w:val="single" w:sz="4" w:space="0" w:color="auto"/>
              <w:right w:val="nil"/>
            </w:tcBorders>
            <w:shd w:val="clear" w:color="auto" w:fill="auto"/>
            <w:vAlign w:val="bottom"/>
          </w:tcPr>
          <w:p w14:paraId="7448750F" w14:textId="766C3172" w:rsidR="00B07E4B" w:rsidRDefault="00B07E4B" w:rsidP="00851CB6">
            <w:r>
              <w:rPr>
                <w:rFonts w:ascii="Calibri" w:hAnsi="Calibri" w:cs="Calibri"/>
                <w:color w:val="000000"/>
              </w:rPr>
              <w:t>Do you think that the minimum fee should be set at a higher amount?</w:t>
            </w:r>
          </w:p>
        </w:tc>
        <w:tc>
          <w:tcPr>
            <w:tcW w:w="4053" w:type="dxa"/>
          </w:tcPr>
          <w:p w14:paraId="531F29F9" w14:textId="77777777" w:rsidR="00B07E4B" w:rsidRDefault="00B07E4B" w:rsidP="00B64109">
            <w:r>
              <w:t xml:space="preserve">SLC, Simplify and CLH responded </w:t>
            </w:r>
            <w:r w:rsidRPr="00A366B4">
              <w:rPr>
                <w:b/>
                <w:bCs/>
              </w:rPr>
              <w:t>No.</w:t>
            </w:r>
          </w:p>
          <w:p w14:paraId="29F1BC42" w14:textId="77777777" w:rsidR="00B07E4B" w:rsidRDefault="00B07E4B" w:rsidP="00B64109">
            <w:proofErr w:type="spellStart"/>
            <w:r>
              <w:t>Muve</w:t>
            </w:r>
            <w:proofErr w:type="spellEnd"/>
            <w:r>
              <w:t xml:space="preserve"> said </w:t>
            </w:r>
            <w:r>
              <w:rPr>
                <w:b/>
                <w:bCs/>
              </w:rPr>
              <w:t>Yes</w:t>
            </w:r>
            <w:r>
              <w:t xml:space="preserve"> as it will discourage poorly capitalised market entrants.</w:t>
            </w:r>
          </w:p>
          <w:p w14:paraId="1ABFC30D" w14:textId="17FA7B80" w:rsidR="00B07E4B" w:rsidRPr="00B64109" w:rsidRDefault="00B07E4B" w:rsidP="00B64109">
            <w:r>
              <w:t>OLC did not respond.</w:t>
            </w:r>
          </w:p>
        </w:tc>
        <w:tc>
          <w:tcPr>
            <w:tcW w:w="6582" w:type="dxa"/>
          </w:tcPr>
          <w:p w14:paraId="0664265B" w14:textId="34011E75" w:rsidR="00B07E4B" w:rsidRDefault="0055016C" w:rsidP="00B64109">
            <w:r>
              <w:t>Only one respondent suggested a higher minimum, as a means of controlling market entry.</w:t>
            </w:r>
            <w:r w:rsidR="0006736E">
              <w:t xml:space="preserve"> The CLC does not want to put in place unreasonable barriers to market entry and has ensured that increases at the lower end are modest and still below the level of past fees as a result of CLC cost-cutting in recent years. </w:t>
            </w:r>
          </w:p>
        </w:tc>
      </w:tr>
      <w:tr w:rsidR="00B07E4B" w14:paraId="5E4727FC" w14:textId="5D1871C7" w:rsidTr="00C97583">
        <w:tc>
          <w:tcPr>
            <w:tcW w:w="441" w:type="dxa"/>
          </w:tcPr>
          <w:p w14:paraId="3007375E" w14:textId="579FC447" w:rsidR="00B07E4B" w:rsidRDefault="00B07E4B" w:rsidP="00851CB6">
            <w:r>
              <w:t>10</w:t>
            </w:r>
          </w:p>
        </w:tc>
        <w:tc>
          <w:tcPr>
            <w:tcW w:w="2872" w:type="dxa"/>
            <w:tcBorders>
              <w:top w:val="single" w:sz="4" w:space="0" w:color="auto"/>
              <w:left w:val="nil"/>
              <w:bottom w:val="single" w:sz="4" w:space="0" w:color="auto"/>
              <w:right w:val="nil"/>
            </w:tcBorders>
            <w:shd w:val="clear" w:color="auto" w:fill="auto"/>
            <w:vAlign w:val="bottom"/>
          </w:tcPr>
          <w:p w14:paraId="1FE3E73E" w14:textId="2FB1E0D2" w:rsidR="00B07E4B" w:rsidRDefault="00B07E4B" w:rsidP="00851CB6">
            <w:r>
              <w:rPr>
                <w:rFonts w:ascii="Calibri" w:hAnsi="Calibri" w:cs="Calibri"/>
                <w:color w:val="000000"/>
              </w:rPr>
              <w:t>Do you think that the Practice Fee could be collected using a different model? – if so what model of collection do you propose and why?</w:t>
            </w:r>
          </w:p>
        </w:tc>
        <w:tc>
          <w:tcPr>
            <w:tcW w:w="4053" w:type="dxa"/>
          </w:tcPr>
          <w:p w14:paraId="1E0E5A8D" w14:textId="77777777" w:rsidR="00B07E4B" w:rsidRDefault="00B07E4B" w:rsidP="00B64109">
            <w:r>
              <w:t xml:space="preserve">SLC, Simplify and CLH responded </w:t>
            </w:r>
            <w:r w:rsidRPr="00A366B4">
              <w:rPr>
                <w:b/>
                <w:bCs/>
              </w:rPr>
              <w:t>No.</w:t>
            </w:r>
          </w:p>
          <w:p w14:paraId="052B040D" w14:textId="27B48640" w:rsidR="00B07E4B" w:rsidRDefault="00B07E4B" w:rsidP="00B64109">
            <w:proofErr w:type="spellStart"/>
            <w:r>
              <w:t>Muve</w:t>
            </w:r>
            <w:proofErr w:type="spellEnd"/>
            <w:r>
              <w:t xml:space="preserve"> and OLC did not respond.</w:t>
            </w:r>
          </w:p>
        </w:tc>
        <w:tc>
          <w:tcPr>
            <w:tcW w:w="6582" w:type="dxa"/>
          </w:tcPr>
          <w:p w14:paraId="0DD1B491" w14:textId="31377733" w:rsidR="00B07E4B" w:rsidRDefault="0055016C" w:rsidP="00B64109">
            <w:r>
              <w:t xml:space="preserve">No alternative collection models were suggested. </w:t>
            </w:r>
          </w:p>
        </w:tc>
      </w:tr>
      <w:tr w:rsidR="00B07E4B" w14:paraId="1F68E31A" w14:textId="59BF4CE5" w:rsidTr="00C97583">
        <w:tc>
          <w:tcPr>
            <w:tcW w:w="441" w:type="dxa"/>
          </w:tcPr>
          <w:p w14:paraId="6AD5D067" w14:textId="6E460428" w:rsidR="00B07E4B" w:rsidRDefault="00B07E4B" w:rsidP="00851CB6">
            <w:r>
              <w:t>11</w:t>
            </w:r>
          </w:p>
        </w:tc>
        <w:tc>
          <w:tcPr>
            <w:tcW w:w="2872" w:type="dxa"/>
            <w:tcBorders>
              <w:top w:val="single" w:sz="4" w:space="0" w:color="auto"/>
              <w:left w:val="nil"/>
              <w:bottom w:val="single" w:sz="4" w:space="0" w:color="auto"/>
              <w:right w:val="nil"/>
            </w:tcBorders>
            <w:shd w:val="clear" w:color="auto" w:fill="auto"/>
          </w:tcPr>
          <w:p w14:paraId="27A8E1CD" w14:textId="560AB32D" w:rsidR="00B07E4B" w:rsidRDefault="00B07E4B" w:rsidP="0010746E">
            <w:r>
              <w:rPr>
                <w:rFonts w:ascii="Calibri" w:hAnsi="Calibri" w:cs="Calibri"/>
                <w:color w:val="000000"/>
              </w:rPr>
              <w:t>Do you have any other thoughts or suggestions relating to the proposed fee banding and fee rates?</w:t>
            </w:r>
          </w:p>
        </w:tc>
        <w:tc>
          <w:tcPr>
            <w:tcW w:w="4053" w:type="dxa"/>
          </w:tcPr>
          <w:p w14:paraId="798D57FA" w14:textId="599234BB" w:rsidR="00B07E4B" w:rsidRDefault="00B07E4B" w:rsidP="00851CB6">
            <w:r>
              <w:t>Only CLH responded to this question and said:</w:t>
            </w:r>
          </w:p>
          <w:p w14:paraId="19693ED2" w14:textId="2318C5E6" w:rsidR="0006736E" w:rsidRDefault="0006736E" w:rsidP="0006736E">
            <w:pPr>
              <w:numPr>
                <w:ilvl w:val="0"/>
                <w:numId w:val="2"/>
              </w:numPr>
            </w:pPr>
            <w:r w:rsidRPr="0006736E">
              <w:t xml:space="preserve">It is difficult to judge the fairness of proposals without seeing data on number of OLC complaints and amount of CLC admin/resource dedicated to different size firms. </w:t>
            </w:r>
          </w:p>
          <w:p w14:paraId="2134BD07" w14:textId="31B30EFF" w:rsidR="00B07E4B" w:rsidRDefault="00B07E4B" w:rsidP="00B64109">
            <w:pPr>
              <w:pStyle w:val="ListParagraph"/>
              <w:numPr>
                <w:ilvl w:val="0"/>
                <w:numId w:val="2"/>
              </w:numPr>
            </w:pPr>
            <w:r>
              <w:t>The presumption that small practices will have insufficient resource to maintain standards is very unfair. Large firms also face resource risks.</w:t>
            </w:r>
          </w:p>
          <w:p w14:paraId="14EB3BFC" w14:textId="5ED88C27" w:rsidR="00B07E4B" w:rsidRDefault="00B07E4B" w:rsidP="00B64109">
            <w:pPr>
              <w:pStyle w:val="ListParagraph"/>
              <w:numPr>
                <w:ilvl w:val="0"/>
                <w:numId w:val="2"/>
              </w:numPr>
            </w:pPr>
            <w:r>
              <w:t xml:space="preserve">Sole practitioners are less likely to have complaints to OLC but are the only bracket with fees increasing substantively. It seems as though CLC is trying to price small firms out of the </w:t>
            </w:r>
            <w:proofErr w:type="gramStart"/>
            <w:r>
              <w:t>market</w:t>
            </w:r>
            <w:proofErr w:type="gramEnd"/>
            <w:r>
              <w:t xml:space="preserve"> and this would have a negative consumer impact.</w:t>
            </w:r>
          </w:p>
        </w:tc>
        <w:tc>
          <w:tcPr>
            <w:tcW w:w="6582" w:type="dxa"/>
          </w:tcPr>
          <w:p w14:paraId="5EB62975" w14:textId="77777777" w:rsidR="00B07E4B" w:rsidRDefault="00B07E4B" w:rsidP="00851CB6"/>
          <w:p w14:paraId="28E2C456" w14:textId="77777777" w:rsidR="00AD0E30" w:rsidRDefault="00AD0E30" w:rsidP="00851CB6"/>
          <w:p w14:paraId="50646209" w14:textId="1AFE4D28" w:rsidR="0006736E" w:rsidRDefault="0010746E" w:rsidP="00851CB6">
            <w:proofErr w:type="gramStart"/>
            <w:r>
              <w:t>It is clear that, even</w:t>
            </w:r>
            <w:proofErr w:type="gramEnd"/>
            <w:r>
              <w:t xml:space="preserve"> with the small increases to charges for the smallest practices, the fees collected will fall some way short of cost recovery for the organisation. The structure of CLC fees reflects the objective of supporting an innovative and diverse conveyancing and probate sector as well as the imperatives of funding. </w:t>
            </w:r>
            <w:r w:rsidRPr="00AD0E30">
              <w:t>Smaller practices are less likely to have complaints referred to the OLC</w:t>
            </w:r>
            <w:r w:rsidR="00257124" w:rsidRPr="00AD0E30">
              <w:t>. Over the last 3 years</w:t>
            </w:r>
            <w:r w:rsidR="009203AD" w:rsidRPr="00AD0E30">
              <w:t xml:space="preserve"> only</w:t>
            </w:r>
            <w:r w:rsidR="00257124" w:rsidRPr="00AD0E30">
              <w:t xml:space="preserve"> </w:t>
            </w:r>
            <w:r w:rsidR="009203AD" w:rsidRPr="00AD0E30">
              <w:t>2</w:t>
            </w:r>
            <w:r w:rsidR="00257124" w:rsidRPr="00AD0E30">
              <w:t xml:space="preserve"> of the 20 smallest practices have any cases at the OLC</w:t>
            </w:r>
            <w:r w:rsidR="009203AD" w:rsidRPr="00AD0E30">
              <w:t xml:space="preserve"> (one each)</w:t>
            </w:r>
            <w:r w:rsidR="00257124" w:rsidRPr="00AD0E30">
              <w:t xml:space="preserve"> </w:t>
            </w:r>
            <w:r w:rsidRPr="00AD0E30">
              <w:t xml:space="preserve"> </w:t>
            </w:r>
            <w:r w:rsidR="00EC2AC8">
              <w:t xml:space="preserve"> </w:t>
            </w:r>
            <w:r>
              <w:t xml:space="preserve"> </w:t>
            </w:r>
          </w:p>
          <w:p w14:paraId="67325799" w14:textId="77777777" w:rsidR="0010746E" w:rsidRDefault="0010746E" w:rsidP="00851CB6"/>
          <w:p w14:paraId="1AF5CFF3" w14:textId="0EFF1D4D" w:rsidR="0010746E" w:rsidRDefault="0010746E" w:rsidP="00851CB6"/>
        </w:tc>
      </w:tr>
      <w:tr w:rsidR="00B07E4B" w14:paraId="4AC3B435" w14:textId="5489A6E2" w:rsidTr="00C97583">
        <w:tc>
          <w:tcPr>
            <w:tcW w:w="7366" w:type="dxa"/>
            <w:gridSpan w:val="3"/>
            <w:shd w:val="clear" w:color="auto" w:fill="DEEAF6" w:themeFill="accent5" w:themeFillTint="33"/>
          </w:tcPr>
          <w:p w14:paraId="454031CF" w14:textId="6F74820E" w:rsidR="00B07E4B" w:rsidRPr="00851CB6" w:rsidRDefault="00B07E4B" w:rsidP="00851CB6">
            <w:pPr>
              <w:rPr>
                <w:b/>
                <w:bCs/>
              </w:rPr>
            </w:pPr>
            <w:r>
              <w:rPr>
                <w:b/>
                <w:bCs/>
              </w:rPr>
              <w:t>Part 3: Setting Regulatory fee rates</w:t>
            </w:r>
          </w:p>
        </w:tc>
        <w:tc>
          <w:tcPr>
            <w:tcW w:w="6582" w:type="dxa"/>
            <w:shd w:val="clear" w:color="auto" w:fill="DEEAF6" w:themeFill="accent5" w:themeFillTint="33"/>
          </w:tcPr>
          <w:p w14:paraId="3FD42124" w14:textId="77777777" w:rsidR="00B07E4B" w:rsidRDefault="00B07E4B" w:rsidP="00851CB6">
            <w:pPr>
              <w:rPr>
                <w:b/>
                <w:bCs/>
              </w:rPr>
            </w:pPr>
          </w:p>
        </w:tc>
      </w:tr>
      <w:tr w:rsidR="00B07E4B" w14:paraId="2D077C16" w14:textId="18CE5AEA" w:rsidTr="00C97583">
        <w:tc>
          <w:tcPr>
            <w:tcW w:w="441" w:type="dxa"/>
          </w:tcPr>
          <w:p w14:paraId="50E51F35" w14:textId="50A1A770" w:rsidR="00B07E4B" w:rsidRDefault="00B07E4B" w:rsidP="00851CB6">
            <w:r>
              <w:t>12</w:t>
            </w:r>
          </w:p>
        </w:tc>
        <w:tc>
          <w:tcPr>
            <w:tcW w:w="2872" w:type="dxa"/>
            <w:tcBorders>
              <w:top w:val="single" w:sz="4" w:space="0" w:color="auto"/>
              <w:left w:val="nil"/>
              <w:bottom w:val="single" w:sz="4" w:space="0" w:color="auto"/>
              <w:right w:val="nil"/>
            </w:tcBorders>
            <w:shd w:val="clear" w:color="auto" w:fill="auto"/>
            <w:vAlign w:val="bottom"/>
          </w:tcPr>
          <w:p w14:paraId="00EB18D0" w14:textId="0999DDE1" w:rsidR="00B07E4B" w:rsidRDefault="00B07E4B" w:rsidP="00851CB6">
            <w:r>
              <w:rPr>
                <w:rFonts w:ascii="Calibri" w:hAnsi="Calibri" w:cs="Calibri"/>
                <w:color w:val="000000"/>
              </w:rPr>
              <w:t>Do you agree that if the Practice Fee bandings change that the Compensation Fund bandings should be adjusted to mirror the Practice Fee bandings?</w:t>
            </w:r>
          </w:p>
        </w:tc>
        <w:tc>
          <w:tcPr>
            <w:tcW w:w="4053" w:type="dxa"/>
          </w:tcPr>
          <w:p w14:paraId="6A121110" w14:textId="77777777" w:rsidR="00B07E4B" w:rsidRDefault="00B07E4B" w:rsidP="00851CB6">
            <w:pPr>
              <w:rPr>
                <w:b/>
                <w:bCs/>
              </w:rPr>
            </w:pPr>
            <w:r>
              <w:t xml:space="preserve">SLC and Simplify said </w:t>
            </w:r>
            <w:r>
              <w:rPr>
                <w:b/>
                <w:bCs/>
              </w:rPr>
              <w:t xml:space="preserve">Yes. </w:t>
            </w:r>
          </w:p>
          <w:p w14:paraId="2ADD5187" w14:textId="77777777" w:rsidR="00B07E4B" w:rsidRDefault="00B07E4B" w:rsidP="00851CB6">
            <w:r>
              <w:t xml:space="preserve">CLH said </w:t>
            </w:r>
            <w:r>
              <w:rPr>
                <w:b/>
                <w:bCs/>
              </w:rPr>
              <w:t xml:space="preserve">No. </w:t>
            </w:r>
            <w:r>
              <w:t>The risks applying to practice fee and compensation fund are different.</w:t>
            </w:r>
          </w:p>
          <w:p w14:paraId="56238DE5" w14:textId="4C5525BF" w:rsidR="00B07E4B" w:rsidRPr="00AE7ADB" w:rsidRDefault="00B07E4B" w:rsidP="00851CB6">
            <w:proofErr w:type="spellStart"/>
            <w:r>
              <w:t>Muve</w:t>
            </w:r>
            <w:proofErr w:type="spellEnd"/>
            <w:r>
              <w:t xml:space="preserve"> and OLC did not respond.</w:t>
            </w:r>
          </w:p>
        </w:tc>
        <w:tc>
          <w:tcPr>
            <w:tcW w:w="6582" w:type="dxa"/>
          </w:tcPr>
          <w:p w14:paraId="3F828279" w14:textId="711FEA82" w:rsidR="00EC2AC8" w:rsidRDefault="00EC2AC8" w:rsidP="00851CB6">
            <w:r>
              <w:t xml:space="preserve">The comment from CLH is dealt with in the response to question 14, below. </w:t>
            </w:r>
          </w:p>
        </w:tc>
      </w:tr>
      <w:tr w:rsidR="00B07E4B" w14:paraId="69E62DB3" w14:textId="08308C78" w:rsidTr="00C97583">
        <w:tc>
          <w:tcPr>
            <w:tcW w:w="441" w:type="dxa"/>
          </w:tcPr>
          <w:p w14:paraId="13301A88" w14:textId="1B6D029D" w:rsidR="00B07E4B" w:rsidRDefault="00B07E4B" w:rsidP="00851CB6">
            <w:r>
              <w:t>13</w:t>
            </w:r>
          </w:p>
        </w:tc>
        <w:tc>
          <w:tcPr>
            <w:tcW w:w="2872" w:type="dxa"/>
            <w:tcBorders>
              <w:top w:val="single" w:sz="4" w:space="0" w:color="auto"/>
              <w:left w:val="nil"/>
              <w:bottom w:val="single" w:sz="4" w:space="0" w:color="auto"/>
              <w:right w:val="nil"/>
            </w:tcBorders>
            <w:shd w:val="clear" w:color="auto" w:fill="auto"/>
            <w:vAlign w:val="bottom"/>
          </w:tcPr>
          <w:p w14:paraId="37769246" w14:textId="6EE1A6CD" w:rsidR="00B07E4B" w:rsidRDefault="00B07E4B" w:rsidP="00851CB6">
            <w:r>
              <w:rPr>
                <w:rFonts w:ascii="Calibri" w:hAnsi="Calibri" w:cs="Calibri"/>
                <w:color w:val="000000"/>
              </w:rPr>
              <w:t>Do you agree with the CLC proposal to not amend the other fees listed in Annex 2?</w:t>
            </w:r>
          </w:p>
        </w:tc>
        <w:tc>
          <w:tcPr>
            <w:tcW w:w="4053" w:type="dxa"/>
          </w:tcPr>
          <w:p w14:paraId="7A38B038" w14:textId="77777777" w:rsidR="00B07E4B" w:rsidRDefault="00B07E4B" w:rsidP="000B561D">
            <w:pPr>
              <w:rPr>
                <w:b/>
                <w:bCs/>
              </w:rPr>
            </w:pPr>
            <w:r>
              <w:t xml:space="preserve">SLC and Simplify said </w:t>
            </w:r>
            <w:r>
              <w:rPr>
                <w:b/>
                <w:bCs/>
              </w:rPr>
              <w:t xml:space="preserve">Yes. </w:t>
            </w:r>
          </w:p>
          <w:p w14:paraId="3B59E85F" w14:textId="77777777" w:rsidR="00B07E4B" w:rsidRDefault="00B07E4B" w:rsidP="000B561D">
            <w:proofErr w:type="spellStart"/>
            <w:r>
              <w:t>Muve</w:t>
            </w:r>
            <w:proofErr w:type="spellEnd"/>
            <w:r>
              <w:t xml:space="preserve"> and OLC did not respond.</w:t>
            </w:r>
          </w:p>
          <w:p w14:paraId="5AD64A1D" w14:textId="5FC1D73A" w:rsidR="00B07E4B" w:rsidRDefault="00B07E4B" w:rsidP="000B561D">
            <w:r>
              <w:t>CLH commented that they would need more data on the cost to the CLC of different applications. CLH also commented that a greater levy should be incurred by practices that do not submit an accountants’ report on time as this would likely use more CLC resource and time.</w:t>
            </w:r>
          </w:p>
        </w:tc>
        <w:tc>
          <w:tcPr>
            <w:tcW w:w="6582" w:type="dxa"/>
          </w:tcPr>
          <w:p w14:paraId="498988F9" w14:textId="4466FB31" w:rsidR="00B07E4B" w:rsidRDefault="00EC2AC8" w:rsidP="000B561D">
            <w:r>
              <w:t xml:space="preserve">We will give consideration in future as to whether an additional charge should be applied in the event of late submission of accountants’ reports. </w:t>
            </w:r>
          </w:p>
        </w:tc>
      </w:tr>
      <w:tr w:rsidR="00B07E4B" w14:paraId="23B9EBCC" w14:textId="56003D46" w:rsidTr="00C97583">
        <w:tc>
          <w:tcPr>
            <w:tcW w:w="441" w:type="dxa"/>
          </w:tcPr>
          <w:p w14:paraId="3E740CD6" w14:textId="5B51BC1A" w:rsidR="00B07E4B" w:rsidRDefault="00B07E4B" w:rsidP="00851CB6">
            <w:r>
              <w:t>14</w:t>
            </w:r>
          </w:p>
        </w:tc>
        <w:tc>
          <w:tcPr>
            <w:tcW w:w="2872" w:type="dxa"/>
            <w:tcBorders>
              <w:top w:val="single" w:sz="4" w:space="0" w:color="auto"/>
              <w:left w:val="nil"/>
              <w:bottom w:val="single" w:sz="4" w:space="0" w:color="auto"/>
              <w:right w:val="nil"/>
            </w:tcBorders>
            <w:shd w:val="clear" w:color="auto" w:fill="auto"/>
          </w:tcPr>
          <w:p w14:paraId="051D3B4C" w14:textId="61C8EACD" w:rsidR="00B07E4B" w:rsidRDefault="00B07E4B" w:rsidP="00EC2AC8">
            <w:r>
              <w:rPr>
                <w:rFonts w:ascii="Calibri" w:hAnsi="Calibri" w:cs="Calibri"/>
                <w:color w:val="000000"/>
              </w:rPr>
              <w:t>Do you have any other comments on the fee structure and process for determining the Regulatory Fees payable for the licence year starting on 1 November 2021?</w:t>
            </w:r>
          </w:p>
        </w:tc>
        <w:tc>
          <w:tcPr>
            <w:tcW w:w="4053" w:type="dxa"/>
          </w:tcPr>
          <w:p w14:paraId="49C2C4A4" w14:textId="77777777" w:rsidR="00B07E4B" w:rsidRDefault="00B07E4B" w:rsidP="00423671">
            <w:pPr>
              <w:tabs>
                <w:tab w:val="left" w:pos="2480"/>
              </w:tabs>
              <w:rPr>
                <w:b/>
                <w:bCs/>
              </w:rPr>
            </w:pPr>
            <w:r>
              <w:t xml:space="preserve">SLC and Simplify said </w:t>
            </w:r>
            <w:r>
              <w:rPr>
                <w:b/>
                <w:bCs/>
              </w:rPr>
              <w:t>No.</w:t>
            </w:r>
          </w:p>
          <w:p w14:paraId="62A7AED9" w14:textId="77777777" w:rsidR="00B07E4B" w:rsidRDefault="00B07E4B" w:rsidP="00423671">
            <w:pPr>
              <w:tabs>
                <w:tab w:val="left" w:pos="2480"/>
              </w:tabs>
            </w:pPr>
            <w:proofErr w:type="spellStart"/>
            <w:r>
              <w:t>Muve</w:t>
            </w:r>
            <w:proofErr w:type="spellEnd"/>
            <w:r>
              <w:t xml:space="preserve"> and OLC did not respond. </w:t>
            </w:r>
          </w:p>
          <w:p w14:paraId="4D788602" w14:textId="5DDDABFA" w:rsidR="00B07E4B" w:rsidRPr="00423671" w:rsidRDefault="00B07E4B" w:rsidP="00423671">
            <w:pPr>
              <w:tabs>
                <w:tab w:val="left" w:pos="1970"/>
              </w:tabs>
            </w:pPr>
            <w:r>
              <w:t xml:space="preserve">CLH noted that </w:t>
            </w:r>
            <w:r w:rsidRPr="00423671">
              <w:t xml:space="preserve">if a large firm ceases trading, the risk to the Compensation Fund is high.  It </w:t>
            </w:r>
            <w:r>
              <w:t xml:space="preserve">is concerning </w:t>
            </w:r>
            <w:r w:rsidRPr="00423671">
              <w:t>that there are so many more larger firms regulated by the CLC and feel the compensation fund should be built up, but not purely at the expense of small practices.</w:t>
            </w:r>
          </w:p>
        </w:tc>
        <w:tc>
          <w:tcPr>
            <w:tcW w:w="6582" w:type="dxa"/>
          </w:tcPr>
          <w:p w14:paraId="623B880F" w14:textId="5475E085" w:rsidR="00B07E4B" w:rsidRDefault="00EC2AC8" w:rsidP="00423671">
            <w:pPr>
              <w:tabs>
                <w:tab w:val="left" w:pos="2480"/>
              </w:tabs>
            </w:pPr>
            <w:r w:rsidRPr="00EC2AC8">
              <w:t>It is quite right that the Practice Fee and Compensation Fund risks are different and the failure of, or intervention into a large practice would be likely to have a greater impact on the Compensation Fund than that of a smaller practice. While fee rates taper as turnover increases, Compensation Fund contributions are progressive and grow as a practice grows larger, reflecting that risk.</w:t>
            </w:r>
          </w:p>
        </w:tc>
      </w:tr>
      <w:tr w:rsidR="00B07E4B" w14:paraId="08F5FC78" w14:textId="096C3A0A" w:rsidTr="00C97583">
        <w:tc>
          <w:tcPr>
            <w:tcW w:w="441" w:type="dxa"/>
          </w:tcPr>
          <w:p w14:paraId="2E97A842" w14:textId="3DF824BD" w:rsidR="00B07E4B" w:rsidRDefault="00B07E4B" w:rsidP="00851CB6">
            <w:r>
              <w:t>15</w:t>
            </w:r>
          </w:p>
        </w:tc>
        <w:tc>
          <w:tcPr>
            <w:tcW w:w="2872" w:type="dxa"/>
            <w:tcBorders>
              <w:top w:val="single" w:sz="4" w:space="0" w:color="auto"/>
              <w:left w:val="nil"/>
              <w:bottom w:val="single" w:sz="4" w:space="0" w:color="auto"/>
              <w:right w:val="nil"/>
            </w:tcBorders>
            <w:shd w:val="clear" w:color="auto" w:fill="auto"/>
          </w:tcPr>
          <w:p w14:paraId="0B1EB9D5" w14:textId="73E49CB3" w:rsidR="00B07E4B" w:rsidRDefault="00B07E4B" w:rsidP="00EC2AC8">
            <w:r>
              <w:rPr>
                <w:rFonts w:ascii="Calibri" w:hAnsi="Calibri" w:cs="Calibri"/>
                <w:color w:val="000000"/>
              </w:rPr>
              <w:t>Please explain with as much detail as possible why, if that is the case, you do not agree to any of the objectives or principles proposed for determining fee rates</w:t>
            </w:r>
          </w:p>
        </w:tc>
        <w:tc>
          <w:tcPr>
            <w:tcW w:w="4053" w:type="dxa"/>
          </w:tcPr>
          <w:p w14:paraId="0E501804" w14:textId="77777777" w:rsidR="00B07E4B" w:rsidRDefault="00B07E4B" w:rsidP="00851CB6">
            <w:r>
              <w:t xml:space="preserve">CLH noted again that: </w:t>
            </w:r>
          </w:p>
          <w:p w14:paraId="5A4A62DB" w14:textId="77777777" w:rsidR="00B07E4B" w:rsidRDefault="00B07E4B" w:rsidP="00E54250">
            <w:pPr>
              <w:pStyle w:val="ListParagraph"/>
              <w:numPr>
                <w:ilvl w:val="0"/>
                <w:numId w:val="2"/>
              </w:numPr>
            </w:pPr>
            <w:r>
              <w:t xml:space="preserve">It seems the intention of the CLC is to price smaller firms out of the market and that this is being excused on the basis of making a fairer system for larger, more profitable firms. </w:t>
            </w:r>
          </w:p>
          <w:p w14:paraId="75BEEB3E" w14:textId="3FF2FC69" w:rsidR="00B07E4B" w:rsidRDefault="00B07E4B" w:rsidP="00E54250">
            <w:pPr>
              <w:pStyle w:val="ListParagraph"/>
              <w:numPr>
                <w:ilvl w:val="0"/>
                <w:numId w:val="2"/>
              </w:numPr>
            </w:pPr>
            <w:r>
              <w:t>Concerns about practices and their chosen business model should be raised at inspection rather than introducing a blanket policy that penalises certain other business models.</w:t>
            </w:r>
          </w:p>
          <w:p w14:paraId="67CA2428" w14:textId="77777777" w:rsidR="00C81C55" w:rsidRDefault="00C81C55" w:rsidP="00C81C55">
            <w:pPr>
              <w:pStyle w:val="ListParagraph"/>
            </w:pPr>
          </w:p>
          <w:p w14:paraId="34CBC94A" w14:textId="70745F4F" w:rsidR="00B07E4B" w:rsidRDefault="00B07E4B" w:rsidP="00E54250">
            <w:pPr>
              <w:pStyle w:val="ListParagraph"/>
              <w:numPr>
                <w:ilvl w:val="0"/>
                <w:numId w:val="2"/>
              </w:numPr>
            </w:pPr>
            <w:r>
              <w:t>The fact that a Licensed Conveyancer cannot cho</w:t>
            </w:r>
            <w:r w:rsidR="00EC2AC8">
              <w:t>o</w:t>
            </w:r>
            <w:r>
              <w:t>se their regulator introduces a further element of unfairness.</w:t>
            </w:r>
          </w:p>
        </w:tc>
        <w:tc>
          <w:tcPr>
            <w:tcW w:w="6582" w:type="dxa"/>
          </w:tcPr>
          <w:p w14:paraId="35D76E91" w14:textId="77777777" w:rsidR="00B07E4B" w:rsidRDefault="00B07E4B" w:rsidP="00851CB6"/>
          <w:p w14:paraId="508D9F6B" w14:textId="50D9EE78" w:rsidR="00EC2AC8" w:rsidRDefault="00EC2AC8" w:rsidP="00851CB6">
            <w:r>
              <w:t xml:space="preserve">The modest increases to fees for the smallest practices are not intended to inhibit those practices. As has been noted above, the practice fee for those firms will remain lower than it has been historically. </w:t>
            </w:r>
            <w:r w:rsidR="00C81C55">
              <w:t>The CLC’s ongoing desk-based monitoring and supervision,</w:t>
            </w:r>
            <w:r w:rsidR="00C81C55" w:rsidRPr="00C81C55">
              <w:t xml:space="preserve"> alongside</w:t>
            </w:r>
            <w:r w:rsidR="00C81C55">
              <w:t xml:space="preserve"> risk profiling and frequent inspections of practices, are how we address problems in practices. </w:t>
            </w:r>
          </w:p>
          <w:p w14:paraId="539E4690" w14:textId="77777777" w:rsidR="00C81C55" w:rsidRDefault="00C81C55" w:rsidP="00851CB6"/>
          <w:p w14:paraId="17FB4868" w14:textId="2905008D" w:rsidR="00C81C55" w:rsidRDefault="00C81C55" w:rsidP="00851CB6">
            <w:r>
              <w:t xml:space="preserve">Licensed Conveyancers are able to seek to be regulated by other regulators or conveyancing or probate. </w:t>
            </w:r>
          </w:p>
        </w:tc>
      </w:tr>
    </w:tbl>
    <w:p w14:paraId="0FA3B849" w14:textId="2CAEAA74" w:rsidR="001060C3" w:rsidRDefault="001060C3" w:rsidP="005D7E41"/>
    <w:p w14:paraId="1A05D9B8" w14:textId="77777777" w:rsidR="001060C3" w:rsidRDefault="001060C3">
      <w:pPr>
        <w:sectPr w:rsidR="001060C3" w:rsidSect="001A7DC1">
          <w:pgSz w:w="16838" w:h="11906" w:orient="landscape"/>
          <w:pgMar w:top="1440" w:right="1440" w:bottom="1440" w:left="1440" w:header="708" w:footer="708" w:gutter="0"/>
          <w:cols w:space="708"/>
          <w:docGrid w:linePitch="360"/>
        </w:sectPr>
      </w:pPr>
    </w:p>
    <w:p w14:paraId="43CE0240" w14:textId="1164F307" w:rsidR="001060C3" w:rsidRPr="001060C3" w:rsidRDefault="001060C3">
      <w:pPr>
        <w:rPr>
          <w:b/>
          <w:bCs/>
        </w:rPr>
      </w:pPr>
      <w:r w:rsidRPr="001060C3">
        <w:rPr>
          <w:b/>
          <w:bCs/>
        </w:rPr>
        <w:t>ANNEX – CLC AND OLC COST ANALYSIS</w:t>
      </w:r>
    </w:p>
    <w:p w14:paraId="6E14AB27" w14:textId="030E45BE" w:rsidR="001060C3" w:rsidRDefault="001060C3" w:rsidP="001060C3">
      <w:pPr>
        <w:pStyle w:val="ListParagraph"/>
        <w:numPr>
          <w:ilvl w:val="0"/>
          <w:numId w:val="4"/>
        </w:numPr>
        <w:spacing w:line="240" w:lineRule="auto"/>
        <w:ind w:left="567"/>
        <w:contextualSpacing w:val="0"/>
        <w:rPr>
          <w:rFonts w:cstheme="minorHAnsi"/>
        </w:rPr>
      </w:pPr>
      <w:r>
        <w:rPr>
          <w:rFonts w:cstheme="minorHAnsi"/>
        </w:rPr>
        <w:t>The trends in CLC operating cost and OLC levy cost is illustrated in the table below. The OLC levy has significantly increased year-on-year since 2016, whereas The CLC operating cost has largely remained flat over the same period. Over the same period the OLC cost as a percentage of total cost has increased from 9% to 23%.</w:t>
      </w:r>
    </w:p>
    <w:tbl>
      <w:tblPr>
        <w:tblW w:w="11031" w:type="dxa"/>
        <w:tblInd w:w="1129" w:type="dxa"/>
        <w:tblLook w:val="04A0" w:firstRow="1" w:lastRow="0" w:firstColumn="1" w:lastColumn="0" w:noHBand="0" w:noVBand="1"/>
      </w:tblPr>
      <w:tblGrid>
        <w:gridCol w:w="3261"/>
        <w:gridCol w:w="1110"/>
        <w:gridCol w:w="1110"/>
        <w:gridCol w:w="1110"/>
        <w:gridCol w:w="1110"/>
        <w:gridCol w:w="1110"/>
        <w:gridCol w:w="1110"/>
        <w:gridCol w:w="1110"/>
      </w:tblGrid>
      <w:tr w:rsidR="001060C3" w:rsidRPr="00906189" w14:paraId="033349B8" w14:textId="77777777" w:rsidTr="001060C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00382363"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CLC Operating expenditure split between direct and OLC costs</w:t>
            </w:r>
          </w:p>
          <w:p w14:paraId="04B23B6D" w14:textId="77777777" w:rsidR="001060C3" w:rsidRPr="00906189" w:rsidRDefault="001060C3" w:rsidP="00A8788E">
            <w:pPr>
              <w:spacing w:after="0" w:line="240" w:lineRule="auto"/>
              <w:rPr>
                <w:rFonts w:ascii="Calibri" w:eastAsia="Times New Roman" w:hAnsi="Calibri" w:cs="Times New Roman"/>
                <w:color w:val="000000"/>
                <w:lang w:eastAsia="en-GB"/>
              </w:rPr>
            </w:pP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449E6964"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2015-16</w:t>
            </w: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0C3DEA4C"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2016-17</w:t>
            </w: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3E522573"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2017-18</w:t>
            </w: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70737D53"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2018-19</w:t>
            </w: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199BBD1C"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2019-20</w:t>
            </w: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06B29AA4"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2020-21</w:t>
            </w:r>
          </w:p>
        </w:tc>
        <w:tc>
          <w:tcPr>
            <w:tcW w:w="1110" w:type="dxa"/>
            <w:tcBorders>
              <w:top w:val="single" w:sz="4" w:space="0" w:color="auto"/>
              <w:left w:val="nil"/>
              <w:bottom w:val="single" w:sz="4" w:space="0" w:color="auto"/>
              <w:right w:val="single" w:sz="4" w:space="0" w:color="auto"/>
            </w:tcBorders>
            <w:shd w:val="clear" w:color="auto" w:fill="EDEDED" w:themeFill="accent3" w:themeFillTint="33"/>
            <w:noWrap/>
            <w:hideMark/>
          </w:tcPr>
          <w:p w14:paraId="0CE3334A"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2021-22</w:t>
            </w:r>
          </w:p>
        </w:tc>
      </w:tr>
      <w:tr w:rsidR="001060C3" w:rsidRPr="00906189" w14:paraId="06BEA587"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619FD549"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CLC Operating expenditure</w:t>
            </w:r>
          </w:p>
        </w:tc>
        <w:tc>
          <w:tcPr>
            <w:tcW w:w="1110" w:type="dxa"/>
            <w:tcBorders>
              <w:top w:val="nil"/>
              <w:left w:val="nil"/>
              <w:bottom w:val="nil"/>
              <w:right w:val="single" w:sz="4" w:space="0" w:color="auto"/>
            </w:tcBorders>
            <w:shd w:val="clear" w:color="000000" w:fill="FFFFFF"/>
            <w:noWrap/>
            <w:vAlign w:val="center"/>
            <w:hideMark/>
          </w:tcPr>
          <w:p w14:paraId="4BC6294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2,503,187 </w:t>
            </w:r>
          </w:p>
        </w:tc>
        <w:tc>
          <w:tcPr>
            <w:tcW w:w="1110" w:type="dxa"/>
            <w:tcBorders>
              <w:top w:val="nil"/>
              <w:left w:val="nil"/>
              <w:bottom w:val="nil"/>
              <w:right w:val="nil"/>
            </w:tcBorders>
            <w:shd w:val="clear" w:color="000000" w:fill="FFFFFF"/>
            <w:noWrap/>
            <w:vAlign w:val="center"/>
            <w:hideMark/>
          </w:tcPr>
          <w:p w14:paraId="0C29D4B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2,239,557 </w:t>
            </w:r>
          </w:p>
        </w:tc>
        <w:tc>
          <w:tcPr>
            <w:tcW w:w="1110" w:type="dxa"/>
            <w:tcBorders>
              <w:top w:val="nil"/>
              <w:left w:val="single" w:sz="4" w:space="0" w:color="auto"/>
              <w:bottom w:val="nil"/>
              <w:right w:val="single" w:sz="4" w:space="0" w:color="auto"/>
            </w:tcBorders>
            <w:shd w:val="clear" w:color="000000" w:fill="FFFFFF"/>
            <w:noWrap/>
            <w:vAlign w:val="center"/>
            <w:hideMark/>
          </w:tcPr>
          <w:p w14:paraId="3BD26778"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2,137,158 </w:t>
            </w:r>
          </w:p>
        </w:tc>
        <w:tc>
          <w:tcPr>
            <w:tcW w:w="1110" w:type="dxa"/>
            <w:tcBorders>
              <w:top w:val="nil"/>
              <w:left w:val="nil"/>
              <w:bottom w:val="nil"/>
              <w:right w:val="nil"/>
            </w:tcBorders>
            <w:shd w:val="clear" w:color="000000" w:fill="FFFFFF"/>
            <w:noWrap/>
            <w:vAlign w:val="center"/>
            <w:hideMark/>
          </w:tcPr>
          <w:p w14:paraId="11D82B28"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2,326,626 </w:t>
            </w:r>
          </w:p>
        </w:tc>
        <w:tc>
          <w:tcPr>
            <w:tcW w:w="1110" w:type="dxa"/>
            <w:tcBorders>
              <w:top w:val="nil"/>
              <w:left w:val="single" w:sz="4" w:space="0" w:color="auto"/>
              <w:bottom w:val="nil"/>
              <w:right w:val="single" w:sz="4" w:space="0" w:color="auto"/>
            </w:tcBorders>
            <w:shd w:val="clear" w:color="000000" w:fill="FFFFFF"/>
            <w:noWrap/>
            <w:vAlign w:val="center"/>
            <w:hideMark/>
          </w:tcPr>
          <w:p w14:paraId="2CFC58B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2,533,584 </w:t>
            </w:r>
          </w:p>
        </w:tc>
        <w:tc>
          <w:tcPr>
            <w:tcW w:w="1110" w:type="dxa"/>
            <w:tcBorders>
              <w:top w:val="nil"/>
              <w:left w:val="nil"/>
              <w:bottom w:val="nil"/>
              <w:right w:val="nil"/>
            </w:tcBorders>
            <w:shd w:val="clear" w:color="000000" w:fill="FFFFFF"/>
            <w:noWrap/>
            <w:vAlign w:val="center"/>
            <w:hideMark/>
          </w:tcPr>
          <w:p w14:paraId="67E49E1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2,585,879 </w:t>
            </w:r>
          </w:p>
        </w:tc>
        <w:tc>
          <w:tcPr>
            <w:tcW w:w="1110" w:type="dxa"/>
            <w:tcBorders>
              <w:top w:val="nil"/>
              <w:left w:val="single" w:sz="4" w:space="0" w:color="auto"/>
              <w:bottom w:val="nil"/>
              <w:right w:val="single" w:sz="4" w:space="0" w:color="auto"/>
            </w:tcBorders>
            <w:shd w:val="clear" w:color="000000" w:fill="FFFFFF"/>
            <w:noWrap/>
            <w:vAlign w:val="center"/>
            <w:hideMark/>
          </w:tcPr>
          <w:p w14:paraId="48913C2F"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2,</w:t>
            </w:r>
            <w:r>
              <w:rPr>
                <w:rFonts w:ascii="Calibri" w:eastAsia="Times New Roman" w:hAnsi="Calibri" w:cs="Times New Roman"/>
                <w:color w:val="000000"/>
                <w:lang w:eastAsia="en-GB"/>
              </w:rPr>
              <w:t>343</w:t>
            </w:r>
            <w:r w:rsidRPr="00906189">
              <w:rPr>
                <w:rFonts w:ascii="Calibri" w:eastAsia="Times New Roman" w:hAnsi="Calibri" w:cs="Times New Roman"/>
                <w:color w:val="000000"/>
                <w:lang w:eastAsia="en-GB"/>
              </w:rPr>
              <w:t>,</w:t>
            </w:r>
            <w:r>
              <w:rPr>
                <w:rFonts w:ascii="Calibri" w:eastAsia="Times New Roman" w:hAnsi="Calibri" w:cs="Times New Roman"/>
                <w:color w:val="000000"/>
                <w:lang w:eastAsia="en-GB"/>
              </w:rPr>
              <w:t>484</w:t>
            </w:r>
            <w:r w:rsidRPr="00906189">
              <w:rPr>
                <w:rFonts w:ascii="Calibri" w:eastAsia="Times New Roman" w:hAnsi="Calibri" w:cs="Times New Roman"/>
                <w:color w:val="000000"/>
                <w:lang w:eastAsia="en-GB"/>
              </w:rPr>
              <w:t xml:space="preserve"> </w:t>
            </w:r>
          </w:p>
        </w:tc>
      </w:tr>
      <w:tr w:rsidR="001060C3" w:rsidRPr="00906189" w14:paraId="44BF4655"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5AE0E656"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YoY (Decrease)/Increase in CLC operating expenditure</w:t>
            </w:r>
          </w:p>
        </w:tc>
        <w:tc>
          <w:tcPr>
            <w:tcW w:w="1110" w:type="dxa"/>
            <w:tcBorders>
              <w:top w:val="nil"/>
              <w:left w:val="nil"/>
              <w:bottom w:val="nil"/>
              <w:right w:val="single" w:sz="4" w:space="0" w:color="auto"/>
            </w:tcBorders>
            <w:shd w:val="clear" w:color="000000" w:fill="FFFFFF"/>
            <w:noWrap/>
            <w:vAlign w:val="bottom"/>
            <w:hideMark/>
          </w:tcPr>
          <w:p w14:paraId="00F1573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nil"/>
              <w:right w:val="nil"/>
            </w:tcBorders>
            <w:shd w:val="clear" w:color="000000" w:fill="FFFFFF"/>
            <w:noWrap/>
            <w:hideMark/>
          </w:tcPr>
          <w:p w14:paraId="45ABE15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-11%</w:t>
            </w:r>
          </w:p>
        </w:tc>
        <w:tc>
          <w:tcPr>
            <w:tcW w:w="1110" w:type="dxa"/>
            <w:tcBorders>
              <w:top w:val="nil"/>
              <w:left w:val="single" w:sz="4" w:space="0" w:color="auto"/>
              <w:bottom w:val="nil"/>
              <w:right w:val="single" w:sz="4" w:space="0" w:color="auto"/>
            </w:tcBorders>
            <w:shd w:val="clear" w:color="000000" w:fill="FFFFFF"/>
            <w:noWrap/>
            <w:hideMark/>
          </w:tcPr>
          <w:p w14:paraId="6DF103A6"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-5%</w:t>
            </w:r>
          </w:p>
        </w:tc>
        <w:tc>
          <w:tcPr>
            <w:tcW w:w="1110" w:type="dxa"/>
            <w:tcBorders>
              <w:top w:val="nil"/>
              <w:left w:val="nil"/>
              <w:bottom w:val="nil"/>
              <w:right w:val="nil"/>
            </w:tcBorders>
            <w:shd w:val="clear" w:color="000000" w:fill="FFFFFF"/>
            <w:noWrap/>
            <w:hideMark/>
          </w:tcPr>
          <w:p w14:paraId="5225E752"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9%</w:t>
            </w:r>
          </w:p>
        </w:tc>
        <w:tc>
          <w:tcPr>
            <w:tcW w:w="1110" w:type="dxa"/>
            <w:tcBorders>
              <w:top w:val="nil"/>
              <w:left w:val="single" w:sz="4" w:space="0" w:color="auto"/>
              <w:bottom w:val="nil"/>
              <w:right w:val="single" w:sz="4" w:space="0" w:color="auto"/>
            </w:tcBorders>
            <w:shd w:val="clear" w:color="000000" w:fill="FFFFFF"/>
            <w:noWrap/>
            <w:hideMark/>
          </w:tcPr>
          <w:p w14:paraId="132823E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9%</w:t>
            </w:r>
          </w:p>
        </w:tc>
        <w:tc>
          <w:tcPr>
            <w:tcW w:w="1110" w:type="dxa"/>
            <w:tcBorders>
              <w:top w:val="nil"/>
              <w:left w:val="nil"/>
              <w:bottom w:val="nil"/>
              <w:right w:val="nil"/>
            </w:tcBorders>
            <w:shd w:val="clear" w:color="000000" w:fill="FFFFFF"/>
            <w:noWrap/>
            <w:hideMark/>
          </w:tcPr>
          <w:p w14:paraId="05F6636F"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2%</w:t>
            </w:r>
          </w:p>
        </w:tc>
        <w:tc>
          <w:tcPr>
            <w:tcW w:w="1110" w:type="dxa"/>
            <w:tcBorders>
              <w:top w:val="nil"/>
              <w:left w:val="single" w:sz="4" w:space="0" w:color="auto"/>
              <w:bottom w:val="nil"/>
              <w:right w:val="single" w:sz="4" w:space="0" w:color="auto"/>
            </w:tcBorders>
            <w:shd w:val="clear" w:color="000000" w:fill="FFFFFF"/>
            <w:noWrap/>
            <w:hideMark/>
          </w:tcPr>
          <w:p w14:paraId="58515F3B"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w:t>
            </w:r>
            <w:r>
              <w:rPr>
                <w:rFonts w:ascii="Calibri" w:eastAsia="Times New Roman" w:hAnsi="Calibri" w:cs="Times New Roman"/>
                <w:color w:val="000000"/>
                <w:lang w:eastAsia="en-GB"/>
              </w:rPr>
              <w:t>9</w:t>
            </w:r>
            <w:r w:rsidRPr="00906189">
              <w:rPr>
                <w:rFonts w:ascii="Calibri" w:eastAsia="Times New Roman" w:hAnsi="Calibri" w:cs="Times New Roman"/>
                <w:color w:val="000000"/>
                <w:lang w:eastAsia="en-GB"/>
              </w:rPr>
              <w:t>%</w:t>
            </w:r>
          </w:p>
        </w:tc>
      </w:tr>
      <w:tr w:rsidR="001060C3" w:rsidRPr="00906189" w14:paraId="081B69BE"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78F9F3EE"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OLC cost</w:t>
            </w:r>
          </w:p>
        </w:tc>
        <w:tc>
          <w:tcPr>
            <w:tcW w:w="1110" w:type="dxa"/>
            <w:tcBorders>
              <w:top w:val="nil"/>
              <w:left w:val="nil"/>
              <w:bottom w:val="nil"/>
              <w:right w:val="single" w:sz="4" w:space="0" w:color="auto"/>
            </w:tcBorders>
            <w:shd w:val="clear" w:color="000000" w:fill="FFFFFF"/>
            <w:noWrap/>
            <w:vAlign w:val="bottom"/>
            <w:hideMark/>
          </w:tcPr>
          <w:p w14:paraId="280FF57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239,857</w:t>
            </w:r>
            <w:r w:rsidRPr="00906189">
              <w:rPr>
                <w:rFonts w:ascii="Calibri" w:eastAsia="Times New Roman" w:hAnsi="Calibri" w:cs="Times New Roman"/>
                <w:color w:val="000000"/>
                <w:lang w:eastAsia="en-GB"/>
              </w:rPr>
              <w:t xml:space="preserve"> </w:t>
            </w:r>
          </w:p>
        </w:tc>
        <w:tc>
          <w:tcPr>
            <w:tcW w:w="1110" w:type="dxa"/>
            <w:tcBorders>
              <w:top w:val="nil"/>
              <w:left w:val="nil"/>
              <w:bottom w:val="nil"/>
              <w:right w:val="nil"/>
            </w:tcBorders>
            <w:shd w:val="clear" w:color="000000" w:fill="FFFFFF"/>
            <w:noWrap/>
            <w:vAlign w:val="bottom"/>
            <w:hideMark/>
          </w:tcPr>
          <w:p w14:paraId="074971F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2</w:t>
            </w:r>
            <w:r>
              <w:rPr>
                <w:rFonts w:ascii="Calibri" w:eastAsia="Times New Roman" w:hAnsi="Calibri" w:cs="Times New Roman"/>
                <w:color w:val="000000"/>
                <w:lang w:eastAsia="en-GB"/>
              </w:rPr>
              <w:t>34</w:t>
            </w:r>
            <w:r w:rsidRPr="00906189">
              <w:rPr>
                <w:rFonts w:ascii="Calibri" w:eastAsia="Times New Roman" w:hAnsi="Calibri" w:cs="Times New Roman"/>
                <w:color w:val="000000"/>
                <w:lang w:eastAsia="en-GB"/>
              </w:rPr>
              <w:t>,</w:t>
            </w:r>
            <w:r>
              <w:rPr>
                <w:rFonts w:ascii="Calibri" w:eastAsia="Times New Roman" w:hAnsi="Calibri" w:cs="Times New Roman"/>
                <w:color w:val="000000"/>
                <w:lang w:eastAsia="en-GB"/>
              </w:rPr>
              <w:t>009</w:t>
            </w:r>
            <w:r w:rsidRPr="00906189">
              <w:rPr>
                <w:rFonts w:ascii="Calibri" w:eastAsia="Times New Roman" w:hAnsi="Calibri" w:cs="Times New Roman"/>
                <w:color w:val="000000"/>
                <w:lang w:eastAsia="en-GB"/>
              </w:rPr>
              <w:t xml:space="preserve"> </w:t>
            </w:r>
          </w:p>
        </w:tc>
        <w:tc>
          <w:tcPr>
            <w:tcW w:w="1110" w:type="dxa"/>
            <w:tcBorders>
              <w:top w:val="nil"/>
              <w:left w:val="single" w:sz="4" w:space="0" w:color="auto"/>
              <w:bottom w:val="nil"/>
              <w:right w:val="single" w:sz="4" w:space="0" w:color="auto"/>
            </w:tcBorders>
            <w:shd w:val="clear" w:color="000000" w:fill="FFFFFF"/>
            <w:noWrap/>
            <w:vAlign w:val="bottom"/>
            <w:hideMark/>
          </w:tcPr>
          <w:p w14:paraId="27A6A584"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3</w:t>
            </w:r>
            <w:r>
              <w:rPr>
                <w:rFonts w:ascii="Calibri" w:eastAsia="Times New Roman" w:hAnsi="Calibri" w:cs="Times New Roman"/>
                <w:color w:val="000000"/>
                <w:lang w:eastAsia="en-GB"/>
              </w:rPr>
              <w:t>0</w:t>
            </w:r>
            <w:r w:rsidRPr="00906189">
              <w:rPr>
                <w:rFonts w:ascii="Calibri" w:eastAsia="Times New Roman" w:hAnsi="Calibri" w:cs="Times New Roman"/>
                <w:color w:val="000000"/>
                <w:lang w:eastAsia="en-GB"/>
              </w:rPr>
              <w:t>2,</w:t>
            </w:r>
            <w:r>
              <w:rPr>
                <w:rFonts w:ascii="Calibri" w:eastAsia="Times New Roman" w:hAnsi="Calibri" w:cs="Times New Roman"/>
                <w:color w:val="000000"/>
                <w:lang w:eastAsia="en-GB"/>
              </w:rPr>
              <w:t>873</w:t>
            </w:r>
            <w:r w:rsidRPr="00906189">
              <w:rPr>
                <w:rFonts w:ascii="Calibri" w:eastAsia="Times New Roman" w:hAnsi="Calibri" w:cs="Times New Roman"/>
                <w:color w:val="000000"/>
                <w:lang w:eastAsia="en-GB"/>
              </w:rPr>
              <w:t xml:space="preserve"> </w:t>
            </w:r>
          </w:p>
        </w:tc>
        <w:tc>
          <w:tcPr>
            <w:tcW w:w="1110" w:type="dxa"/>
            <w:tcBorders>
              <w:top w:val="nil"/>
              <w:left w:val="nil"/>
              <w:bottom w:val="nil"/>
              <w:right w:val="nil"/>
            </w:tcBorders>
            <w:shd w:val="clear" w:color="000000" w:fill="FFFFFF"/>
            <w:noWrap/>
            <w:vAlign w:val="bottom"/>
            <w:hideMark/>
          </w:tcPr>
          <w:p w14:paraId="3F28920B"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34</w:t>
            </w:r>
            <w:r>
              <w:rPr>
                <w:rFonts w:ascii="Calibri" w:eastAsia="Times New Roman" w:hAnsi="Calibri" w:cs="Times New Roman"/>
                <w:color w:val="000000"/>
                <w:lang w:eastAsia="en-GB"/>
              </w:rPr>
              <w:t>0</w:t>
            </w:r>
            <w:r w:rsidRPr="00906189">
              <w:rPr>
                <w:rFonts w:ascii="Calibri" w:eastAsia="Times New Roman" w:hAnsi="Calibri" w:cs="Times New Roman"/>
                <w:color w:val="000000"/>
                <w:lang w:eastAsia="en-GB"/>
              </w:rPr>
              <w:t>,</w:t>
            </w:r>
            <w:r>
              <w:rPr>
                <w:rFonts w:ascii="Calibri" w:eastAsia="Times New Roman" w:hAnsi="Calibri" w:cs="Times New Roman"/>
                <w:color w:val="000000"/>
                <w:lang w:eastAsia="en-GB"/>
              </w:rPr>
              <w:t>015</w:t>
            </w:r>
            <w:r w:rsidRPr="00906189">
              <w:rPr>
                <w:rFonts w:ascii="Calibri" w:eastAsia="Times New Roman" w:hAnsi="Calibri" w:cs="Times New Roman"/>
                <w:color w:val="000000"/>
                <w:lang w:eastAsia="en-GB"/>
              </w:rPr>
              <w:t xml:space="preserve"> </w:t>
            </w:r>
          </w:p>
        </w:tc>
        <w:tc>
          <w:tcPr>
            <w:tcW w:w="1110" w:type="dxa"/>
            <w:tcBorders>
              <w:top w:val="nil"/>
              <w:left w:val="single" w:sz="4" w:space="0" w:color="auto"/>
              <w:bottom w:val="nil"/>
              <w:right w:val="single" w:sz="4" w:space="0" w:color="auto"/>
            </w:tcBorders>
            <w:shd w:val="clear" w:color="000000" w:fill="FFFFFF"/>
            <w:noWrap/>
            <w:vAlign w:val="bottom"/>
            <w:hideMark/>
          </w:tcPr>
          <w:p w14:paraId="127788B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422,</w:t>
            </w:r>
            <w:r>
              <w:rPr>
                <w:rFonts w:ascii="Calibri" w:eastAsia="Times New Roman" w:hAnsi="Calibri" w:cs="Times New Roman"/>
                <w:color w:val="000000"/>
                <w:lang w:eastAsia="en-GB"/>
              </w:rPr>
              <w:t>831</w:t>
            </w:r>
            <w:r w:rsidRPr="00906189">
              <w:rPr>
                <w:rFonts w:ascii="Calibri" w:eastAsia="Times New Roman" w:hAnsi="Calibri" w:cs="Times New Roman"/>
                <w:color w:val="000000"/>
                <w:lang w:eastAsia="en-GB"/>
              </w:rPr>
              <w:t xml:space="preserve"> </w:t>
            </w:r>
          </w:p>
        </w:tc>
        <w:tc>
          <w:tcPr>
            <w:tcW w:w="1110" w:type="dxa"/>
            <w:tcBorders>
              <w:top w:val="nil"/>
              <w:left w:val="nil"/>
              <w:bottom w:val="nil"/>
              <w:right w:val="nil"/>
            </w:tcBorders>
            <w:shd w:val="clear" w:color="000000" w:fill="FFFFFF"/>
            <w:noWrap/>
            <w:vAlign w:val="bottom"/>
            <w:hideMark/>
          </w:tcPr>
          <w:p w14:paraId="0EC48A5B"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519</w:t>
            </w:r>
            <w:r w:rsidRPr="00906189">
              <w:rPr>
                <w:rFonts w:ascii="Calibri" w:eastAsia="Times New Roman" w:hAnsi="Calibri" w:cs="Times New Roman"/>
                <w:color w:val="000000"/>
                <w:lang w:eastAsia="en-GB"/>
              </w:rPr>
              <w:t>,</w:t>
            </w:r>
            <w:r>
              <w:rPr>
                <w:rFonts w:ascii="Calibri" w:eastAsia="Times New Roman" w:hAnsi="Calibri" w:cs="Times New Roman"/>
                <w:color w:val="000000"/>
                <w:lang w:eastAsia="en-GB"/>
              </w:rPr>
              <w:t>717</w:t>
            </w:r>
            <w:r w:rsidRPr="00906189">
              <w:rPr>
                <w:rFonts w:ascii="Calibri" w:eastAsia="Times New Roman" w:hAnsi="Calibri" w:cs="Times New Roman"/>
                <w:color w:val="000000"/>
                <w:lang w:eastAsia="en-GB"/>
              </w:rPr>
              <w:t xml:space="preserve"> </w:t>
            </w:r>
          </w:p>
        </w:tc>
        <w:tc>
          <w:tcPr>
            <w:tcW w:w="1110" w:type="dxa"/>
            <w:tcBorders>
              <w:top w:val="nil"/>
              <w:left w:val="single" w:sz="4" w:space="0" w:color="auto"/>
              <w:bottom w:val="nil"/>
              <w:right w:val="single" w:sz="4" w:space="0" w:color="auto"/>
            </w:tcBorders>
            <w:shd w:val="clear" w:color="000000" w:fill="FFFFFF"/>
            <w:noWrap/>
            <w:vAlign w:val="bottom"/>
            <w:hideMark/>
          </w:tcPr>
          <w:p w14:paraId="24FC8F8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686,511 </w:t>
            </w:r>
          </w:p>
        </w:tc>
      </w:tr>
      <w:tr w:rsidR="001060C3" w:rsidRPr="00906189" w14:paraId="318682FD"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1EB451E0"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YoY Increase in OLC cost</w:t>
            </w:r>
          </w:p>
        </w:tc>
        <w:tc>
          <w:tcPr>
            <w:tcW w:w="1110" w:type="dxa"/>
            <w:tcBorders>
              <w:top w:val="nil"/>
              <w:left w:val="nil"/>
              <w:right w:val="single" w:sz="4" w:space="0" w:color="auto"/>
            </w:tcBorders>
            <w:shd w:val="clear" w:color="000000" w:fill="FFFFFF"/>
            <w:noWrap/>
            <w:vAlign w:val="bottom"/>
            <w:hideMark/>
          </w:tcPr>
          <w:p w14:paraId="06B5CC8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right w:val="nil"/>
            </w:tcBorders>
            <w:shd w:val="clear" w:color="000000" w:fill="FFFFFF"/>
            <w:noWrap/>
            <w:vAlign w:val="bottom"/>
            <w:hideMark/>
          </w:tcPr>
          <w:p w14:paraId="07741BD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906189">
              <w:rPr>
                <w:rFonts w:ascii="Calibri" w:eastAsia="Times New Roman" w:hAnsi="Calibri" w:cs="Times New Roman"/>
                <w:color w:val="000000"/>
                <w:lang w:eastAsia="en-GB"/>
              </w:rPr>
              <w:t>2%</w:t>
            </w:r>
          </w:p>
        </w:tc>
        <w:tc>
          <w:tcPr>
            <w:tcW w:w="1110" w:type="dxa"/>
            <w:tcBorders>
              <w:top w:val="nil"/>
              <w:left w:val="single" w:sz="4" w:space="0" w:color="auto"/>
              <w:right w:val="single" w:sz="4" w:space="0" w:color="auto"/>
            </w:tcBorders>
            <w:shd w:val="clear" w:color="000000" w:fill="FFFFFF"/>
            <w:noWrap/>
            <w:vAlign w:val="bottom"/>
            <w:hideMark/>
          </w:tcPr>
          <w:p w14:paraId="0C5C641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w:t>
            </w:r>
            <w:r w:rsidRPr="00906189">
              <w:rPr>
                <w:rFonts w:ascii="Calibri" w:eastAsia="Times New Roman" w:hAnsi="Calibri" w:cs="Times New Roman"/>
                <w:color w:val="000000"/>
                <w:lang w:eastAsia="en-GB"/>
              </w:rPr>
              <w:t>%</w:t>
            </w:r>
          </w:p>
        </w:tc>
        <w:tc>
          <w:tcPr>
            <w:tcW w:w="1110" w:type="dxa"/>
            <w:tcBorders>
              <w:top w:val="nil"/>
              <w:left w:val="nil"/>
              <w:right w:val="nil"/>
            </w:tcBorders>
            <w:shd w:val="clear" w:color="000000" w:fill="FFFFFF"/>
            <w:noWrap/>
            <w:vAlign w:val="bottom"/>
            <w:hideMark/>
          </w:tcPr>
          <w:p w14:paraId="4F798D0B"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906189">
              <w:rPr>
                <w:rFonts w:ascii="Calibri" w:eastAsia="Times New Roman" w:hAnsi="Calibri" w:cs="Times New Roman"/>
                <w:color w:val="000000"/>
                <w:lang w:eastAsia="en-GB"/>
              </w:rPr>
              <w:t>%</w:t>
            </w:r>
          </w:p>
        </w:tc>
        <w:tc>
          <w:tcPr>
            <w:tcW w:w="1110" w:type="dxa"/>
            <w:tcBorders>
              <w:top w:val="nil"/>
              <w:left w:val="single" w:sz="4" w:space="0" w:color="auto"/>
              <w:right w:val="single" w:sz="4" w:space="0" w:color="auto"/>
            </w:tcBorders>
            <w:shd w:val="clear" w:color="000000" w:fill="FFFFFF"/>
            <w:noWrap/>
            <w:vAlign w:val="bottom"/>
            <w:hideMark/>
          </w:tcPr>
          <w:p w14:paraId="0524B70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w:t>
            </w:r>
            <w:r w:rsidRPr="00906189">
              <w:rPr>
                <w:rFonts w:ascii="Calibri" w:eastAsia="Times New Roman" w:hAnsi="Calibri" w:cs="Times New Roman"/>
                <w:color w:val="000000"/>
                <w:lang w:eastAsia="en-GB"/>
              </w:rPr>
              <w:t>%</w:t>
            </w:r>
          </w:p>
        </w:tc>
        <w:tc>
          <w:tcPr>
            <w:tcW w:w="1110" w:type="dxa"/>
            <w:tcBorders>
              <w:top w:val="nil"/>
              <w:left w:val="nil"/>
              <w:right w:val="nil"/>
            </w:tcBorders>
            <w:shd w:val="clear" w:color="000000" w:fill="FFFFFF"/>
            <w:noWrap/>
            <w:vAlign w:val="bottom"/>
            <w:hideMark/>
          </w:tcPr>
          <w:p w14:paraId="6C8EBE84"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w:t>
            </w:r>
            <w:r w:rsidRPr="00906189">
              <w:rPr>
                <w:rFonts w:ascii="Calibri" w:eastAsia="Times New Roman" w:hAnsi="Calibri" w:cs="Times New Roman"/>
                <w:color w:val="000000"/>
                <w:lang w:eastAsia="en-GB"/>
              </w:rPr>
              <w:t>%</w:t>
            </w:r>
          </w:p>
        </w:tc>
        <w:tc>
          <w:tcPr>
            <w:tcW w:w="1110" w:type="dxa"/>
            <w:tcBorders>
              <w:top w:val="nil"/>
              <w:left w:val="single" w:sz="4" w:space="0" w:color="auto"/>
              <w:right w:val="single" w:sz="4" w:space="0" w:color="auto"/>
            </w:tcBorders>
            <w:shd w:val="clear" w:color="000000" w:fill="FFFFFF"/>
            <w:noWrap/>
            <w:vAlign w:val="bottom"/>
            <w:hideMark/>
          </w:tcPr>
          <w:p w14:paraId="3B2FBD86"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3</w:t>
            </w:r>
            <w:r>
              <w:rPr>
                <w:rFonts w:ascii="Calibri" w:eastAsia="Times New Roman" w:hAnsi="Calibri" w:cs="Times New Roman"/>
                <w:color w:val="000000"/>
                <w:lang w:eastAsia="en-GB"/>
              </w:rPr>
              <w:t>2</w:t>
            </w:r>
            <w:r w:rsidRPr="00906189">
              <w:rPr>
                <w:rFonts w:ascii="Calibri" w:eastAsia="Times New Roman" w:hAnsi="Calibri" w:cs="Times New Roman"/>
                <w:color w:val="000000"/>
                <w:lang w:eastAsia="en-GB"/>
              </w:rPr>
              <w:t>%</w:t>
            </w:r>
          </w:p>
        </w:tc>
      </w:tr>
      <w:tr w:rsidR="001060C3" w:rsidRPr="00906189" w14:paraId="29036E5B" w14:textId="77777777" w:rsidTr="001060C3">
        <w:trPr>
          <w:trHeight w:val="179"/>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105BFE6D"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single" w:sz="4" w:space="0" w:color="auto"/>
            </w:tcBorders>
            <w:shd w:val="clear" w:color="000000" w:fill="FFFFFF"/>
            <w:noWrap/>
            <w:vAlign w:val="bottom"/>
            <w:hideMark/>
          </w:tcPr>
          <w:p w14:paraId="343C5F42"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nil"/>
            </w:tcBorders>
            <w:shd w:val="clear" w:color="000000" w:fill="FFFFFF"/>
            <w:noWrap/>
            <w:vAlign w:val="bottom"/>
            <w:hideMark/>
          </w:tcPr>
          <w:p w14:paraId="0B1F41A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4926022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nil"/>
            </w:tcBorders>
            <w:shd w:val="clear" w:color="000000" w:fill="FFFFFF"/>
            <w:noWrap/>
            <w:vAlign w:val="bottom"/>
            <w:hideMark/>
          </w:tcPr>
          <w:p w14:paraId="522E4AC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54F739E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nil"/>
            </w:tcBorders>
            <w:shd w:val="clear" w:color="000000" w:fill="FFFFFF"/>
            <w:noWrap/>
            <w:vAlign w:val="bottom"/>
            <w:hideMark/>
          </w:tcPr>
          <w:p w14:paraId="2B75916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58575276"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r w:rsidR="001060C3" w:rsidRPr="00906189" w14:paraId="4034CA5A"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03AD6BB5"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Total CLC cost </w:t>
            </w:r>
          </w:p>
        </w:tc>
        <w:tc>
          <w:tcPr>
            <w:tcW w:w="1110" w:type="dxa"/>
            <w:tcBorders>
              <w:top w:val="single" w:sz="4" w:space="0" w:color="auto"/>
              <w:left w:val="nil"/>
              <w:bottom w:val="nil"/>
              <w:right w:val="single" w:sz="4" w:space="0" w:color="auto"/>
            </w:tcBorders>
            <w:shd w:val="clear" w:color="000000" w:fill="FFFFFF"/>
            <w:noWrap/>
            <w:vAlign w:val="bottom"/>
            <w:hideMark/>
          </w:tcPr>
          <w:p w14:paraId="2F09BFA5"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2,7</w:t>
            </w:r>
            <w:r>
              <w:rPr>
                <w:rFonts w:ascii="Calibri" w:eastAsia="Times New Roman" w:hAnsi="Calibri" w:cs="Times New Roman"/>
                <w:b/>
                <w:bCs/>
                <w:color w:val="000000"/>
                <w:lang w:eastAsia="en-GB"/>
              </w:rPr>
              <w:t>43</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044</w:t>
            </w:r>
            <w:r w:rsidRPr="00906189">
              <w:rPr>
                <w:rFonts w:ascii="Calibri" w:eastAsia="Times New Roman" w:hAnsi="Calibri" w:cs="Times New Roman"/>
                <w:b/>
                <w:bCs/>
                <w:color w:val="000000"/>
                <w:lang w:eastAsia="en-GB"/>
              </w:rPr>
              <w:t xml:space="preserve"> </w:t>
            </w:r>
          </w:p>
        </w:tc>
        <w:tc>
          <w:tcPr>
            <w:tcW w:w="1110" w:type="dxa"/>
            <w:tcBorders>
              <w:top w:val="single" w:sz="4" w:space="0" w:color="auto"/>
              <w:left w:val="nil"/>
              <w:bottom w:val="nil"/>
              <w:right w:val="nil"/>
            </w:tcBorders>
            <w:shd w:val="clear" w:color="000000" w:fill="FFFFFF"/>
            <w:noWrap/>
            <w:vAlign w:val="bottom"/>
            <w:hideMark/>
          </w:tcPr>
          <w:p w14:paraId="2409DBF5"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2,4</w:t>
            </w:r>
            <w:r>
              <w:rPr>
                <w:rFonts w:ascii="Calibri" w:eastAsia="Times New Roman" w:hAnsi="Calibri" w:cs="Times New Roman"/>
                <w:b/>
                <w:bCs/>
                <w:color w:val="000000"/>
                <w:lang w:eastAsia="en-GB"/>
              </w:rPr>
              <w:t>73</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566</w:t>
            </w:r>
            <w:r w:rsidRPr="00906189">
              <w:rPr>
                <w:rFonts w:ascii="Calibri" w:eastAsia="Times New Roman" w:hAnsi="Calibri" w:cs="Times New Roman"/>
                <w:b/>
                <w:bCs/>
                <w:color w:val="000000"/>
                <w:lang w:eastAsia="en-GB"/>
              </w:rPr>
              <w:t xml:space="preserve"> </w:t>
            </w:r>
          </w:p>
        </w:tc>
        <w:tc>
          <w:tcPr>
            <w:tcW w:w="1110" w:type="dxa"/>
            <w:tcBorders>
              <w:top w:val="single" w:sz="4" w:space="0" w:color="auto"/>
              <w:left w:val="single" w:sz="4" w:space="0" w:color="auto"/>
              <w:bottom w:val="nil"/>
              <w:right w:val="single" w:sz="4" w:space="0" w:color="auto"/>
            </w:tcBorders>
            <w:shd w:val="clear" w:color="000000" w:fill="FFFFFF"/>
            <w:noWrap/>
            <w:vAlign w:val="bottom"/>
            <w:hideMark/>
          </w:tcPr>
          <w:p w14:paraId="294816A1"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2,4</w:t>
            </w:r>
            <w:r>
              <w:rPr>
                <w:rFonts w:ascii="Calibri" w:eastAsia="Times New Roman" w:hAnsi="Calibri" w:cs="Times New Roman"/>
                <w:b/>
                <w:bCs/>
                <w:color w:val="000000"/>
                <w:lang w:eastAsia="en-GB"/>
              </w:rPr>
              <w:t>40</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0</w:t>
            </w:r>
            <w:r w:rsidRPr="00906189">
              <w:rPr>
                <w:rFonts w:ascii="Calibri" w:eastAsia="Times New Roman" w:hAnsi="Calibri" w:cs="Times New Roman"/>
                <w:b/>
                <w:bCs/>
                <w:color w:val="000000"/>
                <w:lang w:eastAsia="en-GB"/>
              </w:rPr>
              <w:t xml:space="preserve">31 </w:t>
            </w:r>
          </w:p>
        </w:tc>
        <w:tc>
          <w:tcPr>
            <w:tcW w:w="1110" w:type="dxa"/>
            <w:tcBorders>
              <w:top w:val="single" w:sz="4" w:space="0" w:color="auto"/>
              <w:left w:val="nil"/>
              <w:bottom w:val="nil"/>
              <w:right w:val="nil"/>
            </w:tcBorders>
            <w:shd w:val="clear" w:color="000000" w:fill="FFFFFF"/>
            <w:noWrap/>
            <w:vAlign w:val="bottom"/>
            <w:hideMark/>
          </w:tcPr>
          <w:p w14:paraId="4D98E30C"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2,6</w:t>
            </w:r>
            <w:r>
              <w:rPr>
                <w:rFonts w:ascii="Calibri" w:eastAsia="Times New Roman" w:hAnsi="Calibri" w:cs="Times New Roman"/>
                <w:b/>
                <w:bCs/>
                <w:color w:val="000000"/>
                <w:lang w:eastAsia="en-GB"/>
              </w:rPr>
              <w:t>66</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641</w:t>
            </w:r>
            <w:r w:rsidRPr="00906189">
              <w:rPr>
                <w:rFonts w:ascii="Calibri" w:eastAsia="Times New Roman" w:hAnsi="Calibri" w:cs="Times New Roman"/>
                <w:b/>
                <w:bCs/>
                <w:color w:val="000000"/>
                <w:lang w:eastAsia="en-GB"/>
              </w:rPr>
              <w:t xml:space="preserve"> </w:t>
            </w:r>
          </w:p>
        </w:tc>
        <w:tc>
          <w:tcPr>
            <w:tcW w:w="1110" w:type="dxa"/>
            <w:tcBorders>
              <w:top w:val="single" w:sz="4" w:space="0" w:color="auto"/>
              <w:left w:val="single" w:sz="4" w:space="0" w:color="auto"/>
              <w:bottom w:val="nil"/>
              <w:right w:val="single" w:sz="4" w:space="0" w:color="auto"/>
            </w:tcBorders>
            <w:shd w:val="clear" w:color="000000" w:fill="FFFFFF"/>
            <w:noWrap/>
            <w:vAlign w:val="bottom"/>
            <w:hideMark/>
          </w:tcPr>
          <w:p w14:paraId="7D4B24EA"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2,956,</w:t>
            </w:r>
            <w:r>
              <w:rPr>
                <w:rFonts w:ascii="Calibri" w:eastAsia="Times New Roman" w:hAnsi="Calibri" w:cs="Times New Roman"/>
                <w:b/>
                <w:bCs/>
                <w:color w:val="000000"/>
                <w:lang w:eastAsia="en-GB"/>
              </w:rPr>
              <w:t>415</w:t>
            </w:r>
            <w:r w:rsidRPr="00906189">
              <w:rPr>
                <w:rFonts w:ascii="Calibri" w:eastAsia="Times New Roman" w:hAnsi="Calibri" w:cs="Times New Roman"/>
                <w:b/>
                <w:bCs/>
                <w:color w:val="000000"/>
                <w:lang w:eastAsia="en-GB"/>
              </w:rPr>
              <w:t xml:space="preserve"> </w:t>
            </w:r>
          </w:p>
        </w:tc>
        <w:tc>
          <w:tcPr>
            <w:tcW w:w="1110" w:type="dxa"/>
            <w:tcBorders>
              <w:top w:val="single" w:sz="4" w:space="0" w:color="auto"/>
              <w:left w:val="nil"/>
              <w:bottom w:val="nil"/>
              <w:right w:val="nil"/>
            </w:tcBorders>
            <w:shd w:val="clear" w:color="000000" w:fill="FFFFFF"/>
            <w:noWrap/>
            <w:vAlign w:val="bottom"/>
            <w:hideMark/>
          </w:tcPr>
          <w:p w14:paraId="46D411E1"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3,</w:t>
            </w:r>
            <w:r>
              <w:rPr>
                <w:rFonts w:ascii="Calibri" w:eastAsia="Times New Roman" w:hAnsi="Calibri" w:cs="Times New Roman"/>
                <w:b/>
                <w:bCs/>
                <w:color w:val="000000"/>
                <w:lang w:eastAsia="en-GB"/>
              </w:rPr>
              <w:t>106</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984</w:t>
            </w:r>
            <w:r w:rsidRPr="00906189">
              <w:rPr>
                <w:rFonts w:ascii="Calibri" w:eastAsia="Times New Roman" w:hAnsi="Calibri" w:cs="Times New Roman"/>
                <w:b/>
                <w:bCs/>
                <w:color w:val="000000"/>
                <w:lang w:eastAsia="en-GB"/>
              </w:rPr>
              <w:t xml:space="preserve"> </w:t>
            </w:r>
          </w:p>
        </w:tc>
        <w:tc>
          <w:tcPr>
            <w:tcW w:w="1110" w:type="dxa"/>
            <w:tcBorders>
              <w:top w:val="single" w:sz="4" w:space="0" w:color="auto"/>
              <w:left w:val="single" w:sz="4" w:space="0" w:color="auto"/>
              <w:bottom w:val="nil"/>
              <w:right w:val="single" w:sz="4" w:space="0" w:color="auto"/>
            </w:tcBorders>
            <w:shd w:val="clear" w:color="000000" w:fill="FFFFFF"/>
            <w:noWrap/>
            <w:vAlign w:val="bottom"/>
            <w:hideMark/>
          </w:tcPr>
          <w:p w14:paraId="50BEBBBB"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029</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995</w:t>
            </w:r>
            <w:r w:rsidRPr="00906189">
              <w:rPr>
                <w:rFonts w:ascii="Calibri" w:eastAsia="Times New Roman" w:hAnsi="Calibri" w:cs="Times New Roman"/>
                <w:b/>
                <w:bCs/>
                <w:color w:val="000000"/>
                <w:lang w:eastAsia="en-GB"/>
              </w:rPr>
              <w:t xml:space="preserve"> </w:t>
            </w:r>
          </w:p>
        </w:tc>
      </w:tr>
      <w:tr w:rsidR="001060C3" w:rsidRPr="00906189" w14:paraId="746CFE36"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4443BB3B"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YoY (Decrease)/Increase in total CLC costs</w:t>
            </w:r>
          </w:p>
        </w:tc>
        <w:tc>
          <w:tcPr>
            <w:tcW w:w="1110" w:type="dxa"/>
            <w:tcBorders>
              <w:top w:val="nil"/>
              <w:left w:val="nil"/>
              <w:bottom w:val="nil"/>
              <w:right w:val="single" w:sz="4" w:space="0" w:color="auto"/>
            </w:tcBorders>
            <w:shd w:val="clear" w:color="000000" w:fill="FFFFFF"/>
            <w:noWrap/>
            <w:vAlign w:val="bottom"/>
            <w:hideMark/>
          </w:tcPr>
          <w:p w14:paraId="7572ACC8"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nil"/>
              <w:bottom w:val="nil"/>
              <w:right w:val="nil"/>
            </w:tcBorders>
            <w:shd w:val="clear" w:color="000000" w:fill="FFFFFF"/>
            <w:noWrap/>
            <w:vAlign w:val="bottom"/>
            <w:hideMark/>
          </w:tcPr>
          <w:p w14:paraId="4B5B7981"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-8%</w:t>
            </w:r>
          </w:p>
        </w:tc>
        <w:tc>
          <w:tcPr>
            <w:tcW w:w="1110" w:type="dxa"/>
            <w:tcBorders>
              <w:top w:val="nil"/>
              <w:left w:val="single" w:sz="4" w:space="0" w:color="auto"/>
              <w:bottom w:val="nil"/>
              <w:right w:val="single" w:sz="4" w:space="0" w:color="auto"/>
            </w:tcBorders>
            <w:shd w:val="clear" w:color="000000" w:fill="FFFFFF"/>
            <w:noWrap/>
            <w:vAlign w:val="bottom"/>
            <w:hideMark/>
          </w:tcPr>
          <w:p w14:paraId="0F5125A7"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w:t>
            </w:r>
          </w:p>
        </w:tc>
        <w:tc>
          <w:tcPr>
            <w:tcW w:w="1110" w:type="dxa"/>
            <w:tcBorders>
              <w:top w:val="nil"/>
              <w:left w:val="nil"/>
              <w:bottom w:val="nil"/>
              <w:right w:val="nil"/>
            </w:tcBorders>
            <w:shd w:val="clear" w:color="000000" w:fill="FFFFFF"/>
            <w:noWrap/>
            <w:vAlign w:val="bottom"/>
            <w:hideMark/>
          </w:tcPr>
          <w:p w14:paraId="371E3EB3"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9%</w:t>
            </w:r>
          </w:p>
        </w:tc>
        <w:tc>
          <w:tcPr>
            <w:tcW w:w="1110" w:type="dxa"/>
            <w:tcBorders>
              <w:top w:val="nil"/>
              <w:left w:val="single" w:sz="4" w:space="0" w:color="auto"/>
              <w:bottom w:val="nil"/>
              <w:right w:val="single" w:sz="4" w:space="0" w:color="auto"/>
            </w:tcBorders>
            <w:shd w:val="clear" w:color="000000" w:fill="FFFFFF"/>
            <w:noWrap/>
            <w:vAlign w:val="bottom"/>
            <w:hideMark/>
          </w:tcPr>
          <w:p w14:paraId="1E583A5D"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10%</w:t>
            </w:r>
          </w:p>
        </w:tc>
        <w:tc>
          <w:tcPr>
            <w:tcW w:w="1110" w:type="dxa"/>
            <w:tcBorders>
              <w:top w:val="nil"/>
              <w:left w:val="nil"/>
              <w:bottom w:val="nil"/>
              <w:right w:val="nil"/>
            </w:tcBorders>
            <w:shd w:val="clear" w:color="000000" w:fill="FFFFFF"/>
            <w:noWrap/>
            <w:vAlign w:val="bottom"/>
            <w:hideMark/>
          </w:tcPr>
          <w:p w14:paraId="39C3B363"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4%</w:t>
            </w:r>
          </w:p>
        </w:tc>
        <w:tc>
          <w:tcPr>
            <w:tcW w:w="1110" w:type="dxa"/>
            <w:tcBorders>
              <w:top w:val="nil"/>
              <w:left w:val="single" w:sz="4" w:space="0" w:color="auto"/>
              <w:bottom w:val="nil"/>
              <w:right w:val="single" w:sz="4" w:space="0" w:color="auto"/>
            </w:tcBorders>
            <w:shd w:val="clear" w:color="000000" w:fill="FFFFFF"/>
            <w:noWrap/>
            <w:vAlign w:val="bottom"/>
            <w:hideMark/>
          </w:tcPr>
          <w:p w14:paraId="23C5C03F"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-6%</w:t>
            </w:r>
          </w:p>
        </w:tc>
      </w:tr>
      <w:tr w:rsidR="001060C3" w:rsidRPr="00906189" w14:paraId="28B2D0D7" w14:textId="77777777" w:rsidTr="001060C3">
        <w:trPr>
          <w:trHeight w:val="85"/>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146148D8"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nil"/>
              <w:bottom w:val="nil"/>
              <w:right w:val="single" w:sz="4" w:space="0" w:color="auto"/>
            </w:tcBorders>
            <w:shd w:val="clear" w:color="000000" w:fill="FFFFFF"/>
            <w:noWrap/>
            <w:vAlign w:val="bottom"/>
            <w:hideMark/>
          </w:tcPr>
          <w:p w14:paraId="7334373F"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nil"/>
              <w:bottom w:val="nil"/>
              <w:right w:val="nil"/>
            </w:tcBorders>
            <w:shd w:val="clear" w:color="000000" w:fill="FFFFFF"/>
            <w:noWrap/>
            <w:vAlign w:val="bottom"/>
            <w:hideMark/>
          </w:tcPr>
          <w:p w14:paraId="35384F3E"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single" w:sz="4" w:space="0" w:color="auto"/>
              <w:bottom w:val="nil"/>
              <w:right w:val="single" w:sz="4" w:space="0" w:color="auto"/>
            </w:tcBorders>
            <w:shd w:val="clear" w:color="000000" w:fill="FFFFFF"/>
            <w:noWrap/>
            <w:vAlign w:val="bottom"/>
            <w:hideMark/>
          </w:tcPr>
          <w:p w14:paraId="4C44D1F8"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nil"/>
              <w:bottom w:val="nil"/>
              <w:right w:val="nil"/>
            </w:tcBorders>
            <w:shd w:val="clear" w:color="000000" w:fill="FFFFFF"/>
            <w:noWrap/>
            <w:vAlign w:val="bottom"/>
            <w:hideMark/>
          </w:tcPr>
          <w:p w14:paraId="0737E5C6"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single" w:sz="4" w:space="0" w:color="auto"/>
              <w:bottom w:val="nil"/>
              <w:right w:val="single" w:sz="4" w:space="0" w:color="auto"/>
            </w:tcBorders>
            <w:shd w:val="clear" w:color="000000" w:fill="FFFFFF"/>
            <w:noWrap/>
            <w:vAlign w:val="bottom"/>
            <w:hideMark/>
          </w:tcPr>
          <w:p w14:paraId="067685C5"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nil"/>
              <w:bottom w:val="nil"/>
              <w:right w:val="nil"/>
            </w:tcBorders>
            <w:shd w:val="clear" w:color="000000" w:fill="FFFFFF"/>
            <w:noWrap/>
            <w:vAlign w:val="bottom"/>
            <w:hideMark/>
          </w:tcPr>
          <w:p w14:paraId="0BF689D2"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110" w:type="dxa"/>
            <w:tcBorders>
              <w:top w:val="nil"/>
              <w:left w:val="single" w:sz="4" w:space="0" w:color="auto"/>
              <w:bottom w:val="nil"/>
              <w:right w:val="single" w:sz="4" w:space="0" w:color="auto"/>
            </w:tcBorders>
            <w:shd w:val="clear" w:color="000000" w:fill="FFFFFF"/>
            <w:noWrap/>
            <w:vAlign w:val="bottom"/>
            <w:hideMark/>
          </w:tcPr>
          <w:p w14:paraId="0C11FA0F"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r>
      <w:tr w:rsidR="001060C3" w:rsidRPr="00906189" w14:paraId="64C84AFD" w14:textId="77777777" w:rsidTr="001060C3">
        <w:trPr>
          <w:trHeight w:val="300"/>
        </w:trPr>
        <w:tc>
          <w:tcPr>
            <w:tcW w:w="3261" w:type="dxa"/>
            <w:tcBorders>
              <w:top w:val="nil"/>
              <w:left w:val="single" w:sz="4" w:space="0" w:color="auto"/>
              <w:bottom w:val="nil"/>
              <w:right w:val="single" w:sz="4" w:space="0" w:color="auto"/>
            </w:tcBorders>
            <w:shd w:val="clear" w:color="auto" w:fill="EDEDED" w:themeFill="accent3" w:themeFillTint="33"/>
            <w:noWrap/>
            <w:vAlign w:val="bottom"/>
            <w:hideMark/>
          </w:tcPr>
          <w:p w14:paraId="6F029534"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OLC cost as a % of total CLC cost</w:t>
            </w:r>
          </w:p>
        </w:tc>
        <w:tc>
          <w:tcPr>
            <w:tcW w:w="1110" w:type="dxa"/>
            <w:tcBorders>
              <w:top w:val="nil"/>
              <w:left w:val="nil"/>
              <w:bottom w:val="nil"/>
              <w:right w:val="single" w:sz="4" w:space="0" w:color="auto"/>
            </w:tcBorders>
            <w:shd w:val="clear" w:color="auto" w:fill="F2F2F2" w:themeFill="background1" w:themeFillShade="F2"/>
            <w:noWrap/>
            <w:vAlign w:val="bottom"/>
            <w:hideMark/>
          </w:tcPr>
          <w:p w14:paraId="5122E892"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8</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7</w:t>
            </w:r>
            <w:r w:rsidRPr="00906189">
              <w:rPr>
                <w:rFonts w:ascii="Calibri" w:eastAsia="Times New Roman" w:hAnsi="Calibri" w:cs="Times New Roman"/>
                <w:b/>
                <w:bCs/>
                <w:color w:val="000000"/>
                <w:lang w:eastAsia="en-GB"/>
              </w:rPr>
              <w:t>%</w:t>
            </w:r>
          </w:p>
        </w:tc>
        <w:tc>
          <w:tcPr>
            <w:tcW w:w="1110" w:type="dxa"/>
            <w:tcBorders>
              <w:top w:val="nil"/>
              <w:left w:val="nil"/>
              <w:bottom w:val="nil"/>
              <w:right w:val="nil"/>
            </w:tcBorders>
            <w:shd w:val="clear" w:color="auto" w:fill="F2F2F2" w:themeFill="background1" w:themeFillShade="F2"/>
            <w:noWrap/>
            <w:vAlign w:val="bottom"/>
            <w:hideMark/>
          </w:tcPr>
          <w:p w14:paraId="43410C78"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9</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5</w:t>
            </w:r>
            <w:r w:rsidRPr="00906189">
              <w:rPr>
                <w:rFonts w:ascii="Calibri" w:eastAsia="Times New Roman" w:hAnsi="Calibri" w:cs="Times New Roman"/>
                <w:b/>
                <w:bCs/>
                <w:color w:val="000000"/>
                <w:lang w:eastAsia="en-GB"/>
              </w:rPr>
              <w:t>%</w:t>
            </w:r>
          </w:p>
        </w:tc>
        <w:tc>
          <w:tcPr>
            <w:tcW w:w="1110" w:type="dxa"/>
            <w:tcBorders>
              <w:top w:val="nil"/>
              <w:left w:val="single" w:sz="4" w:space="0" w:color="auto"/>
              <w:bottom w:val="nil"/>
              <w:right w:val="single" w:sz="4" w:space="0" w:color="auto"/>
            </w:tcBorders>
            <w:shd w:val="clear" w:color="auto" w:fill="F2F2F2" w:themeFill="background1" w:themeFillShade="F2"/>
            <w:noWrap/>
            <w:vAlign w:val="bottom"/>
            <w:hideMark/>
          </w:tcPr>
          <w:p w14:paraId="318832DC"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1</w:t>
            </w:r>
            <w:r>
              <w:rPr>
                <w:rFonts w:ascii="Calibri" w:eastAsia="Times New Roman" w:hAnsi="Calibri" w:cs="Times New Roman"/>
                <w:b/>
                <w:bCs/>
                <w:color w:val="000000"/>
                <w:lang w:eastAsia="en-GB"/>
              </w:rPr>
              <w:t>2</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4%</w:t>
            </w:r>
          </w:p>
        </w:tc>
        <w:tc>
          <w:tcPr>
            <w:tcW w:w="1110" w:type="dxa"/>
            <w:tcBorders>
              <w:top w:val="nil"/>
              <w:left w:val="nil"/>
              <w:bottom w:val="nil"/>
              <w:right w:val="nil"/>
            </w:tcBorders>
            <w:shd w:val="clear" w:color="auto" w:fill="F2F2F2" w:themeFill="background1" w:themeFillShade="F2"/>
            <w:noWrap/>
            <w:vAlign w:val="bottom"/>
            <w:hideMark/>
          </w:tcPr>
          <w:p w14:paraId="5113DE8A"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1</w:t>
            </w:r>
            <w:r>
              <w:rPr>
                <w:rFonts w:ascii="Calibri" w:eastAsia="Times New Roman" w:hAnsi="Calibri" w:cs="Times New Roman"/>
                <w:b/>
                <w:bCs/>
                <w:color w:val="000000"/>
                <w:lang w:eastAsia="en-GB"/>
              </w:rPr>
              <w:t>2</w:t>
            </w:r>
            <w:r w:rsidRPr="00906189">
              <w:rPr>
                <w:rFonts w:ascii="Calibri" w:eastAsia="Times New Roman" w:hAnsi="Calibri" w:cs="Times New Roman"/>
                <w:b/>
                <w:bCs/>
                <w:color w:val="000000"/>
                <w:lang w:eastAsia="en-GB"/>
              </w:rPr>
              <w:t>.</w:t>
            </w:r>
            <w:r>
              <w:rPr>
                <w:rFonts w:ascii="Calibri" w:eastAsia="Times New Roman" w:hAnsi="Calibri" w:cs="Times New Roman"/>
                <w:b/>
                <w:bCs/>
                <w:color w:val="000000"/>
                <w:lang w:eastAsia="en-GB"/>
              </w:rPr>
              <w:t>8%</w:t>
            </w:r>
          </w:p>
        </w:tc>
        <w:tc>
          <w:tcPr>
            <w:tcW w:w="1110" w:type="dxa"/>
            <w:tcBorders>
              <w:top w:val="nil"/>
              <w:left w:val="single" w:sz="4" w:space="0" w:color="auto"/>
              <w:bottom w:val="nil"/>
              <w:right w:val="single" w:sz="4" w:space="0" w:color="auto"/>
            </w:tcBorders>
            <w:shd w:val="clear" w:color="auto" w:fill="F2F2F2" w:themeFill="background1" w:themeFillShade="F2"/>
            <w:noWrap/>
            <w:vAlign w:val="bottom"/>
            <w:hideMark/>
          </w:tcPr>
          <w:p w14:paraId="024D2BF4"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14.3%</w:t>
            </w:r>
          </w:p>
        </w:tc>
        <w:tc>
          <w:tcPr>
            <w:tcW w:w="1110" w:type="dxa"/>
            <w:tcBorders>
              <w:top w:val="nil"/>
              <w:left w:val="nil"/>
              <w:bottom w:val="nil"/>
              <w:right w:val="nil"/>
            </w:tcBorders>
            <w:shd w:val="clear" w:color="auto" w:fill="F2F2F2" w:themeFill="background1" w:themeFillShade="F2"/>
            <w:noWrap/>
            <w:vAlign w:val="bottom"/>
            <w:hideMark/>
          </w:tcPr>
          <w:p w14:paraId="659BDE9E"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16.</w:t>
            </w:r>
            <w:r>
              <w:rPr>
                <w:rFonts w:ascii="Calibri" w:eastAsia="Times New Roman" w:hAnsi="Calibri" w:cs="Times New Roman"/>
                <w:b/>
                <w:bCs/>
                <w:color w:val="000000"/>
                <w:lang w:eastAsia="en-GB"/>
              </w:rPr>
              <w:t>7</w:t>
            </w:r>
            <w:r w:rsidRPr="00906189">
              <w:rPr>
                <w:rFonts w:ascii="Calibri" w:eastAsia="Times New Roman" w:hAnsi="Calibri" w:cs="Times New Roman"/>
                <w:b/>
                <w:bCs/>
                <w:color w:val="000000"/>
                <w:lang w:eastAsia="en-GB"/>
              </w:rPr>
              <w:t>%</w:t>
            </w:r>
          </w:p>
        </w:tc>
        <w:tc>
          <w:tcPr>
            <w:tcW w:w="1110" w:type="dxa"/>
            <w:tcBorders>
              <w:top w:val="nil"/>
              <w:left w:val="single" w:sz="4" w:space="0" w:color="auto"/>
              <w:bottom w:val="nil"/>
              <w:right w:val="single" w:sz="4" w:space="0" w:color="auto"/>
            </w:tcBorders>
            <w:shd w:val="clear" w:color="auto" w:fill="F2F2F2" w:themeFill="background1" w:themeFillShade="F2"/>
            <w:noWrap/>
            <w:vAlign w:val="bottom"/>
            <w:hideMark/>
          </w:tcPr>
          <w:p w14:paraId="27B84F55"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w:t>
            </w:r>
            <w:r>
              <w:rPr>
                <w:rFonts w:ascii="Calibri" w:eastAsia="Times New Roman" w:hAnsi="Calibri" w:cs="Times New Roman"/>
                <w:b/>
                <w:bCs/>
                <w:color w:val="000000"/>
                <w:lang w:eastAsia="en-GB"/>
              </w:rPr>
              <w:t>2</w:t>
            </w:r>
            <w:r w:rsidRPr="00906189">
              <w:rPr>
                <w:rFonts w:ascii="Calibri" w:eastAsia="Times New Roman" w:hAnsi="Calibri" w:cs="Times New Roman"/>
                <w:b/>
                <w:bCs/>
                <w:color w:val="000000"/>
                <w:lang w:eastAsia="en-GB"/>
              </w:rPr>
              <w:t>.7%</w:t>
            </w:r>
          </w:p>
        </w:tc>
      </w:tr>
      <w:tr w:rsidR="001060C3" w:rsidRPr="00906189" w14:paraId="1459A7EA" w14:textId="77777777" w:rsidTr="001060C3">
        <w:trPr>
          <w:trHeight w:val="80"/>
        </w:trPr>
        <w:tc>
          <w:tcPr>
            <w:tcW w:w="3261"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2F1C750"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single" w:sz="4" w:space="0" w:color="auto"/>
            </w:tcBorders>
            <w:shd w:val="clear" w:color="000000" w:fill="FFFFFF"/>
            <w:noWrap/>
            <w:vAlign w:val="bottom"/>
            <w:hideMark/>
          </w:tcPr>
          <w:p w14:paraId="40784E7C"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nil"/>
            </w:tcBorders>
            <w:shd w:val="clear" w:color="000000" w:fill="FFFFFF"/>
            <w:noWrap/>
            <w:vAlign w:val="bottom"/>
            <w:hideMark/>
          </w:tcPr>
          <w:p w14:paraId="6267BFC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413592E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nil"/>
            </w:tcBorders>
            <w:shd w:val="clear" w:color="000000" w:fill="FFFFFF"/>
            <w:noWrap/>
            <w:vAlign w:val="bottom"/>
            <w:hideMark/>
          </w:tcPr>
          <w:p w14:paraId="3F52998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5ED91E3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nil"/>
              <w:bottom w:val="single" w:sz="4" w:space="0" w:color="auto"/>
              <w:right w:val="nil"/>
            </w:tcBorders>
            <w:shd w:val="clear" w:color="000000" w:fill="FFFFFF"/>
            <w:noWrap/>
            <w:vAlign w:val="bottom"/>
            <w:hideMark/>
          </w:tcPr>
          <w:p w14:paraId="4A6A2BE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110" w:type="dxa"/>
            <w:tcBorders>
              <w:top w:val="nil"/>
              <w:left w:val="single" w:sz="4" w:space="0" w:color="auto"/>
              <w:bottom w:val="single" w:sz="4" w:space="0" w:color="auto"/>
              <w:right w:val="single" w:sz="4" w:space="0" w:color="auto"/>
            </w:tcBorders>
            <w:shd w:val="clear" w:color="000000" w:fill="FFFFFF"/>
            <w:noWrap/>
            <w:vAlign w:val="bottom"/>
            <w:hideMark/>
          </w:tcPr>
          <w:p w14:paraId="66242984"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bl>
    <w:p w14:paraId="4E8B7241" w14:textId="77777777" w:rsidR="001060C3" w:rsidRPr="00906189" w:rsidRDefault="001060C3" w:rsidP="001060C3">
      <w:pPr>
        <w:spacing w:line="240" w:lineRule="auto"/>
        <w:rPr>
          <w:rFonts w:cstheme="minorHAnsi"/>
        </w:rPr>
      </w:pPr>
    </w:p>
    <w:p w14:paraId="56AB14EF" w14:textId="5596351B" w:rsidR="001060C3" w:rsidRDefault="001060C3" w:rsidP="001060C3">
      <w:pPr>
        <w:spacing w:line="240" w:lineRule="auto"/>
        <w:rPr>
          <w:rFonts w:cstheme="minorHAnsi"/>
        </w:rPr>
      </w:pPr>
    </w:p>
    <w:p w14:paraId="7E8037A8" w14:textId="17E419A0" w:rsidR="001060C3" w:rsidRDefault="001060C3" w:rsidP="001060C3">
      <w:pPr>
        <w:spacing w:line="240" w:lineRule="auto"/>
        <w:rPr>
          <w:rFonts w:cstheme="minorHAnsi"/>
        </w:rPr>
      </w:pPr>
    </w:p>
    <w:p w14:paraId="24B7D0B0" w14:textId="3ACDC74E" w:rsidR="001060C3" w:rsidRDefault="001060C3" w:rsidP="001060C3">
      <w:pPr>
        <w:spacing w:line="240" w:lineRule="auto"/>
        <w:rPr>
          <w:rFonts w:cstheme="minorHAnsi"/>
        </w:rPr>
      </w:pPr>
    </w:p>
    <w:p w14:paraId="0363CD3D" w14:textId="77777777" w:rsidR="001060C3" w:rsidRDefault="001060C3" w:rsidP="001060C3">
      <w:pPr>
        <w:spacing w:line="240" w:lineRule="auto"/>
        <w:rPr>
          <w:rFonts w:cstheme="minorHAnsi"/>
        </w:rPr>
      </w:pPr>
    </w:p>
    <w:p w14:paraId="7C4EEF2F" w14:textId="77777777" w:rsidR="001060C3" w:rsidRDefault="001060C3" w:rsidP="001060C3">
      <w:pPr>
        <w:spacing w:line="240" w:lineRule="auto"/>
        <w:rPr>
          <w:rFonts w:cstheme="minorHAnsi"/>
        </w:rPr>
      </w:pPr>
    </w:p>
    <w:p w14:paraId="7B3AE085" w14:textId="77777777" w:rsidR="001060C3" w:rsidRDefault="001060C3" w:rsidP="001060C3">
      <w:pPr>
        <w:spacing w:line="240" w:lineRule="auto"/>
        <w:rPr>
          <w:rFonts w:cstheme="minorHAnsi"/>
        </w:rPr>
      </w:pPr>
    </w:p>
    <w:p w14:paraId="1CC457AA" w14:textId="77777777" w:rsidR="001060C3" w:rsidRPr="00906189" w:rsidRDefault="001060C3" w:rsidP="001060C3">
      <w:pPr>
        <w:spacing w:line="240" w:lineRule="auto"/>
        <w:rPr>
          <w:rFonts w:cstheme="minorHAnsi"/>
        </w:rPr>
      </w:pPr>
    </w:p>
    <w:p w14:paraId="3363C649" w14:textId="77777777" w:rsidR="001060C3" w:rsidRPr="00906189" w:rsidRDefault="001060C3" w:rsidP="001060C3">
      <w:pPr>
        <w:pStyle w:val="ListParagraph"/>
        <w:numPr>
          <w:ilvl w:val="0"/>
          <w:numId w:val="4"/>
        </w:numPr>
        <w:spacing w:line="240" w:lineRule="auto"/>
        <w:ind w:left="567"/>
        <w:contextualSpacing w:val="0"/>
        <w:rPr>
          <w:rFonts w:cstheme="minorHAnsi"/>
        </w:rPr>
      </w:pPr>
      <w:r>
        <w:rPr>
          <w:rFonts w:cstheme="minorHAnsi"/>
        </w:rPr>
        <w:t xml:space="preserve">The trends in the OLC case numbers and cost per case are summarised in the </w:t>
      </w:r>
      <w:r w:rsidRPr="00906189">
        <w:rPr>
          <w:rFonts w:cstheme="minorHAnsi"/>
        </w:rPr>
        <w:t>table below</w:t>
      </w:r>
      <w:r>
        <w:rPr>
          <w:rFonts w:cstheme="minorHAnsi"/>
        </w:rPr>
        <w:t>.</w:t>
      </w:r>
      <w:r w:rsidRPr="00906189">
        <w:rPr>
          <w:rFonts w:cstheme="minorHAnsi"/>
        </w:rPr>
        <w:t xml:space="preserve"> </w:t>
      </w:r>
    </w:p>
    <w:tbl>
      <w:tblPr>
        <w:tblW w:w="10795" w:type="dxa"/>
        <w:tblInd w:w="1555" w:type="dxa"/>
        <w:tblLook w:val="04A0" w:firstRow="1" w:lastRow="0" w:firstColumn="1" w:lastColumn="0" w:noHBand="0" w:noVBand="1"/>
      </w:tblPr>
      <w:tblGrid>
        <w:gridCol w:w="2269"/>
        <w:gridCol w:w="1218"/>
        <w:gridCol w:w="1218"/>
        <w:gridCol w:w="1218"/>
        <w:gridCol w:w="1218"/>
        <w:gridCol w:w="1218"/>
        <w:gridCol w:w="1218"/>
        <w:gridCol w:w="1218"/>
      </w:tblGrid>
      <w:tr w:rsidR="001060C3" w:rsidRPr="00906189" w14:paraId="03FBF5B1" w14:textId="77777777" w:rsidTr="001060C3">
        <w:trPr>
          <w:trHeight w:val="750"/>
        </w:trPr>
        <w:tc>
          <w:tcPr>
            <w:tcW w:w="226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5BABAD6"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OLC cost and case analysis</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379E4ED4"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2015 - March 2016</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4F42DF80"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2016 - March 2017</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53850C16"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2017 - March 2018</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322D98FC"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2018 - March 2019</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1A52D217"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2019 - March 2020</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76528E53"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2020 - March 2021</w:t>
            </w:r>
          </w:p>
        </w:tc>
        <w:tc>
          <w:tcPr>
            <w:tcW w:w="1218" w:type="dxa"/>
            <w:tcBorders>
              <w:top w:val="single" w:sz="4" w:space="0" w:color="auto"/>
              <w:left w:val="nil"/>
              <w:bottom w:val="single" w:sz="4" w:space="0" w:color="auto"/>
              <w:right w:val="single" w:sz="4" w:space="0" w:color="auto"/>
            </w:tcBorders>
            <w:shd w:val="clear" w:color="auto" w:fill="EDEDED" w:themeFill="accent3" w:themeFillTint="33"/>
            <w:hideMark/>
          </w:tcPr>
          <w:p w14:paraId="582AFB6A" w14:textId="77777777" w:rsidR="001060C3" w:rsidRPr="00990AFD" w:rsidRDefault="001060C3" w:rsidP="00A8788E">
            <w:pPr>
              <w:spacing w:after="0" w:line="240" w:lineRule="auto"/>
              <w:jc w:val="center"/>
              <w:rPr>
                <w:rFonts w:ascii="Calibri" w:eastAsia="Times New Roman" w:hAnsi="Calibri" w:cs="Times New Roman"/>
                <w:b/>
                <w:bCs/>
                <w:color w:val="000000"/>
                <w:lang w:eastAsia="en-GB"/>
              </w:rPr>
            </w:pPr>
            <w:r w:rsidRPr="00990AFD">
              <w:rPr>
                <w:rFonts w:ascii="Calibri" w:eastAsia="Times New Roman" w:hAnsi="Calibri" w:cs="Times New Roman"/>
                <w:b/>
                <w:bCs/>
                <w:color w:val="000000"/>
                <w:lang w:eastAsia="en-GB"/>
              </w:rPr>
              <w:t>Apr 2021 - March 2022</w:t>
            </w:r>
          </w:p>
        </w:tc>
      </w:tr>
      <w:tr w:rsidR="001060C3" w:rsidRPr="00906189" w14:paraId="740110E4"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740D3527"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39BD1FAA"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27749866"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3F073A27"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134EAD62"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4C5E3974"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55CF0176"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single" w:sz="4" w:space="0" w:color="auto"/>
            </w:tcBorders>
            <w:shd w:val="clear" w:color="000000" w:fill="FFFFFF"/>
            <w:noWrap/>
            <w:vAlign w:val="bottom"/>
            <w:hideMark/>
          </w:tcPr>
          <w:p w14:paraId="01780268"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r w:rsidR="001060C3" w:rsidRPr="00906189" w14:paraId="47D9EA7A"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67F1F51C"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CLC case numbers</w:t>
            </w:r>
          </w:p>
        </w:tc>
        <w:tc>
          <w:tcPr>
            <w:tcW w:w="1218" w:type="dxa"/>
            <w:tcBorders>
              <w:top w:val="nil"/>
              <w:left w:val="nil"/>
              <w:bottom w:val="nil"/>
              <w:right w:val="nil"/>
            </w:tcBorders>
            <w:shd w:val="clear" w:color="000000" w:fill="FFFFFF"/>
            <w:noWrap/>
            <w:vAlign w:val="bottom"/>
            <w:hideMark/>
          </w:tcPr>
          <w:p w14:paraId="4855295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152 </w:t>
            </w:r>
          </w:p>
        </w:tc>
        <w:tc>
          <w:tcPr>
            <w:tcW w:w="1218" w:type="dxa"/>
            <w:tcBorders>
              <w:top w:val="nil"/>
              <w:left w:val="nil"/>
              <w:bottom w:val="nil"/>
              <w:right w:val="nil"/>
            </w:tcBorders>
            <w:shd w:val="clear" w:color="000000" w:fill="FFFFFF"/>
            <w:noWrap/>
            <w:vAlign w:val="bottom"/>
            <w:hideMark/>
          </w:tcPr>
          <w:p w14:paraId="061F8CE1"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184 </w:t>
            </w:r>
          </w:p>
        </w:tc>
        <w:tc>
          <w:tcPr>
            <w:tcW w:w="1218" w:type="dxa"/>
            <w:tcBorders>
              <w:top w:val="nil"/>
              <w:left w:val="nil"/>
              <w:bottom w:val="nil"/>
              <w:right w:val="nil"/>
            </w:tcBorders>
            <w:shd w:val="clear" w:color="000000" w:fill="FFFFFF"/>
            <w:noWrap/>
            <w:vAlign w:val="bottom"/>
            <w:hideMark/>
          </w:tcPr>
          <w:p w14:paraId="036C55E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217 </w:t>
            </w:r>
          </w:p>
        </w:tc>
        <w:tc>
          <w:tcPr>
            <w:tcW w:w="1218" w:type="dxa"/>
            <w:tcBorders>
              <w:top w:val="nil"/>
              <w:left w:val="nil"/>
              <w:bottom w:val="nil"/>
              <w:right w:val="nil"/>
            </w:tcBorders>
            <w:shd w:val="clear" w:color="000000" w:fill="FFFFFF"/>
            <w:noWrap/>
            <w:vAlign w:val="bottom"/>
            <w:hideMark/>
          </w:tcPr>
          <w:p w14:paraId="6E28414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232 </w:t>
            </w:r>
          </w:p>
        </w:tc>
        <w:tc>
          <w:tcPr>
            <w:tcW w:w="1218" w:type="dxa"/>
            <w:tcBorders>
              <w:top w:val="nil"/>
              <w:left w:val="nil"/>
              <w:bottom w:val="nil"/>
              <w:right w:val="nil"/>
            </w:tcBorders>
            <w:shd w:val="clear" w:color="000000" w:fill="FFFFFF"/>
            <w:noWrap/>
            <w:vAlign w:val="bottom"/>
            <w:hideMark/>
          </w:tcPr>
          <w:p w14:paraId="195E24A1"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232 </w:t>
            </w:r>
          </w:p>
        </w:tc>
        <w:tc>
          <w:tcPr>
            <w:tcW w:w="1218" w:type="dxa"/>
            <w:tcBorders>
              <w:top w:val="nil"/>
              <w:left w:val="nil"/>
              <w:bottom w:val="nil"/>
              <w:right w:val="nil"/>
            </w:tcBorders>
            <w:shd w:val="clear" w:color="000000" w:fill="FFFFFF"/>
            <w:noWrap/>
            <w:vAlign w:val="bottom"/>
            <w:hideMark/>
          </w:tcPr>
          <w:p w14:paraId="4BAFFF7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253 </w:t>
            </w:r>
          </w:p>
        </w:tc>
        <w:tc>
          <w:tcPr>
            <w:tcW w:w="1218" w:type="dxa"/>
            <w:tcBorders>
              <w:top w:val="nil"/>
              <w:left w:val="nil"/>
              <w:bottom w:val="nil"/>
              <w:right w:val="single" w:sz="4" w:space="0" w:color="auto"/>
            </w:tcBorders>
            <w:shd w:val="clear" w:color="000000" w:fill="FFFFFF"/>
            <w:noWrap/>
            <w:vAlign w:val="bottom"/>
            <w:hideMark/>
          </w:tcPr>
          <w:p w14:paraId="39E957CB"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263 </w:t>
            </w:r>
          </w:p>
        </w:tc>
      </w:tr>
      <w:tr w:rsidR="001060C3" w:rsidRPr="00906189" w14:paraId="0967E691"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0E051B19"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Total case numbers</w:t>
            </w:r>
          </w:p>
        </w:tc>
        <w:tc>
          <w:tcPr>
            <w:tcW w:w="1218" w:type="dxa"/>
            <w:tcBorders>
              <w:top w:val="nil"/>
              <w:left w:val="nil"/>
              <w:bottom w:val="nil"/>
              <w:right w:val="nil"/>
            </w:tcBorders>
            <w:shd w:val="clear" w:color="000000" w:fill="FFFFFF"/>
            <w:noWrap/>
            <w:vAlign w:val="bottom"/>
            <w:hideMark/>
          </w:tcPr>
          <w:p w14:paraId="74ED3A36"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8,357 </w:t>
            </w:r>
          </w:p>
        </w:tc>
        <w:tc>
          <w:tcPr>
            <w:tcW w:w="1218" w:type="dxa"/>
            <w:tcBorders>
              <w:top w:val="nil"/>
              <w:left w:val="nil"/>
              <w:bottom w:val="nil"/>
              <w:right w:val="nil"/>
            </w:tcBorders>
            <w:shd w:val="clear" w:color="000000" w:fill="FFFFFF"/>
            <w:noWrap/>
            <w:vAlign w:val="bottom"/>
            <w:hideMark/>
          </w:tcPr>
          <w:p w14:paraId="4BDF294B"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7,637 </w:t>
            </w:r>
          </w:p>
        </w:tc>
        <w:tc>
          <w:tcPr>
            <w:tcW w:w="1218" w:type="dxa"/>
            <w:tcBorders>
              <w:top w:val="nil"/>
              <w:left w:val="nil"/>
              <w:bottom w:val="nil"/>
              <w:right w:val="nil"/>
            </w:tcBorders>
            <w:shd w:val="clear" w:color="000000" w:fill="FFFFFF"/>
            <w:noWrap/>
            <w:vAlign w:val="bottom"/>
            <w:hideMark/>
          </w:tcPr>
          <w:p w14:paraId="4B400FDE"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7,282 </w:t>
            </w:r>
          </w:p>
        </w:tc>
        <w:tc>
          <w:tcPr>
            <w:tcW w:w="1218" w:type="dxa"/>
            <w:tcBorders>
              <w:top w:val="nil"/>
              <w:left w:val="nil"/>
              <w:bottom w:val="nil"/>
              <w:right w:val="nil"/>
            </w:tcBorders>
            <w:shd w:val="clear" w:color="000000" w:fill="FFFFFF"/>
            <w:noWrap/>
            <w:vAlign w:val="bottom"/>
            <w:hideMark/>
          </w:tcPr>
          <w:p w14:paraId="73AD8785"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7,226 </w:t>
            </w:r>
          </w:p>
        </w:tc>
        <w:tc>
          <w:tcPr>
            <w:tcW w:w="1218" w:type="dxa"/>
            <w:tcBorders>
              <w:top w:val="nil"/>
              <w:left w:val="nil"/>
              <w:bottom w:val="nil"/>
              <w:right w:val="nil"/>
            </w:tcBorders>
            <w:shd w:val="clear" w:color="000000" w:fill="FFFFFF"/>
            <w:noWrap/>
            <w:vAlign w:val="bottom"/>
            <w:hideMark/>
          </w:tcPr>
          <w:p w14:paraId="6334EB48"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6,216 </w:t>
            </w:r>
          </w:p>
        </w:tc>
        <w:tc>
          <w:tcPr>
            <w:tcW w:w="1218" w:type="dxa"/>
            <w:tcBorders>
              <w:top w:val="nil"/>
              <w:left w:val="nil"/>
              <w:bottom w:val="nil"/>
              <w:right w:val="nil"/>
            </w:tcBorders>
            <w:shd w:val="clear" w:color="000000" w:fill="FFFFFF"/>
            <w:noWrap/>
            <w:vAlign w:val="bottom"/>
            <w:hideMark/>
          </w:tcPr>
          <w:p w14:paraId="00330DA4"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5,947 </w:t>
            </w:r>
          </w:p>
        </w:tc>
        <w:tc>
          <w:tcPr>
            <w:tcW w:w="1218" w:type="dxa"/>
            <w:tcBorders>
              <w:top w:val="nil"/>
              <w:left w:val="nil"/>
              <w:bottom w:val="nil"/>
              <w:right w:val="single" w:sz="4" w:space="0" w:color="auto"/>
            </w:tcBorders>
            <w:shd w:val="clear" w:color="000000" w:fill="FFFFFF"/>
            <w:noWrap/>
            <w:vAlign w:val="bottom"/>
            <w:hideMark/>
          </w:tcPr>
          <w:p w14:paraId="419EEFF2"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4,962 </w:t>
            </w:r>
          </w:p>
        </w:tc>
      </w:tr>
      <w:tr w:rsidR="001060C3" w:rsidRPr="00906189" w14:paraId="6F65C786"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72050DC2"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46EDB77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28A386E1"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247A1FE2"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7C25F924"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57D3C45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721F93D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single" w:sz="4" w:space="0" w:color="auto"/>
            </w:tcBorders>
            <w:shd w:val="clear" w:color="000000" w:fill="FFFFFF"/>
            <w:noWrap/>
            <w:vAlign w:val="bottom"/>
            <w:hideMark/>
          </w:tcPr>
          <w:p w14:paraId="4078A52F"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r w:rsidR="001060C3" w:rsidRPr="00906189" w14:paraId="067B3C51"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2EA45C83"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CLC % of cases</w:t>
            </w:r>
          </w:p>
        </w:tc>
        <w:tc>
          <w:tcPr>
            <w:tcW w:w="1218" w:type="dxa"/>
            <w:tcBorders>
              <w:top w:val="nil"/>
              <w:left w:val="nil"/>
              <w:bottom w:val="nil"/>
              <w:right w:val="nil"/>
            </w:tcBorders>
            <w:shd w:val="clear" w:color="000000" w:fill="FFFFFF"/>
            <w:noWrap/>
            <w:vAlign w:val="bottom"/>
            <w:hideMark/>
          </w:tcPr>
          <w:p w14:paraId="727DD8BD"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1.82%</w:t>
            </w:r>
          </w:p>
        </w:tc>
        <w:tc>
          <w:tcPr>
            <w:tcW w:w="1218" w:type="dxa"/>
            <w:tcBorders>
              <w:top w:val="nil"/>
              <w:left w:val="nil"/>
              <w:bottom w:val="nil"/>
              <w:right w:val="nil"/>
            </w:tcBorders>
            <w:shd w:val="clear" w:color="000000" w:fill="FFFFFF"/>
            <w:noWrap/>
            <w:vAlign w:val="bottom"/>
            <w:hideMark/>
          </w:tcPr>
          <w:p w14:paraId="60F0D1FB"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2.41%</w:t>
            </w:r>
          </w:p>
        </w:tc>
        <w:tc>
          <w:tcPr>
            <w:tcW w:w="1218" w:type="dxa"/>
            <w:tcBorders>
              <w:top w:val="nil"/>
              <w:left w:val="nil"/>
              <w:bottom w:val="nil"/>
              <w:right w:val="nil"/>
            </w:tcBorders>
            <w:shd w:val="clear" w:color="000000" w:fill="FFFFFF"/>
            <w:noWrap/>
            <w:vAlign w:val="bottom"/>
            <w:hideMark/>
          </w:tcPr>
          <w:p w14:paraId="11B465D3"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2.98%</w:t>
            </w:r>
          </w:p>
        </w:tc>
        <w:tc>
          <w:tcPr>
            <w:tcW w:w="1218" w:type="dxa"/>
            <w:tcBorders>
              <w:top w:val="nil"/>
              <w:left w:val="nil"/>
              <w:bottom w:val="nil"/>
              <w:right w:val="nil"/>
            </w:tcBorders>
            <w:shd w:val="clear" w:color="000000" w:fill="FFFFFF"/>
            <w:noWrap/>
            <w:vAlign w:val="bottom"/>
            <w:hideMark/>
          </w:tcPr>
          <w:p w14:paraId="50B308BF"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3.21%</w:t>
            </w:r>
          </w:p>
        </w:tc>
        <w:tc>
          <w:tcPr>
            <w:tcW w:w="1218" w:type="dxa"/>
            <w:tcBorders>
              <w:top w:val="nil"/>
              <w:left w:val="nil"/>
              <w:bottom w:val="nil"/>
              <w:right w:val="nil"/>
            </w:tcBorders>
            <w:shd w:val="clear" w:color="000000" w:fill="FFFFFF"/>
            <w:noWrap/>
            <w:vAlign w:val="bottom"/>
            <w:hideMark/>
          </w:tcPr>
          <w:p w14:paraId="7F6370F5"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3.73%</w:t>
            </w:r>
          </w:p>
        </w:tc>
        <w:tc>
          <w:tcPr>
            <w:tcW w:w="1218" w:type="dxa"/>
            <w:tcBorders>
              <w:top w:val="nil"/>
              <w:left w:val="nil"/>
              <w:bottom w:val="nil"/>
              <w:right w:val="nil"/>
            </w:tcBorders>
            <w:shd w:val="clear" w:color="000000" w:fill="FFFFFF"/>
            <w:noWrap/>
            <w:vAlign w:val="bottom"/>
            <w:hideMark/>
          </w:tcPr>
          <w:p w14:paraId="24F16496"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4.25%</w:t>
            </w:r>
          </w:p>
        </w:tc>
        <w:tc>
          <w:tcPr>
            <w:tcW w:w="1218" w:type="dxa"/>
            <w:tcBorders>
              <w:top w:val="nil"/>
              <w:left w:val="nil"/>
              <w:bottom w:val="nil"/>
              <w:right w:val="single" w:sz="4" w:space="0" w:color="auto"/>
            </w:tcBorders>
            <w:shd w:val="clear" w:color="000000" w:fill="FFFFFF"/>
            <w:noWrap/>
            <w:vAlign w:val="bottom"/>
            <w:hideMark/>
          </w:tcPr>
          <w:p w14:paraId="5BAC9273"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5.30%</w:t>
            </w:r>
          </w:p>
        </w:tc>
      </w:tr>
      <w:tr w:rsidR="001060C3" w:rsidRPr="00906189" w14:paraId="28226238"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40C5B08A"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nil"/>
            </w:tcBorders>
            <w:shd w:val="clear" w:color="000000" w:fill="FFFFFF"/>
            <w:noWrap/>
            <w:vAlign w:val="bottom"/>
            <w:hideMark/>
          </w:tcPr>
          <w:p w14:paraId="7B12720D"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nil"/>
            </w:tcBorders>
            <w:shd w:val="clear" w:color="000000" w:fill="FFFFFF"/>
            <w:noWrap/>
            <w:vAlign w:val="bottom"/>
            <w:hideMark/>
          </w:tcPr>
          <w:p w14:paraId="0DAE4759"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nil"/>
            </w:tcBorders>
            <w:shd w:val="clear" w:color="000000" w:fill="FFFFFF"/>
            <w:noWrap/>
            <w:vAlign w:val="bottom"/>
            <w:hideMark/>
          </w:tcPr>
          <w:p w14:paraId="71F3E716"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nil"/>
            </w:tcBorders>
            <w:shd w:val="clear" w:color="000000" w:fill="FFFFFF"/>
            <w:noWrap/>
            <w:vAlign w:val="bottom"/>
            <w:hideMark/>
          </w:tcPr>
          <w:p w14:paraId="34F53B51"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nil"/>
            </w:tcBorders>
            <w:shd w:val="clear" w:color="000000" w:fill="FFFFFF"/>
            <w:noWrap/>
            <w:vAlign w:val="bottom"/>
            <w:hideMark/>
          </w:tcPr>
          <w:p w14:paraId="3EF163E0"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nil"/>
            </w:tcBorders>
            <w:shd w:val="clear" w:color="000000" w:fill="FFFFFF"/>
            <w:noWrap/>
            <w:vAlign w:val="bottom"/>
            <w:hideMark/>
          </w:tcPr>
          <w:p w14:paraId="4D914CDC"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c>
          <w:tcPr>
            <w:tcW w:w="1218" w:type="dxa"/>
            <w:tcBorders>
              <w:top w:val="nil"/>
              <w:left w:val="nil"/>
              <w:bottom w:val="nil"/>
              <w:right w:val="single" w:sz="4" w:space="0" w:color="auto"/>
            </w:tcBorders>
            <w:shd w:val="clear" w:color="000000" w:fill="FFFFFF"/>
            <w:noWrap/>
            <w:vAlign w:val="bottom"/>
            <w:hideMark/>
          </w:tcPr>
          <w:p w14:paraId="5A3E6E82"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w:t>
            </w:r>
          </w:p>
        </w:tc>
      </w:tr>
      <w:tr w:rsidR="001060C3" w:rsidRPr="00906189" w14:paraId="17C4B6AA"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4A1ED4E3"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Final cost to CLC</w:t>
            </w:r>
          </w:p>
        </w:tc>
        <w:tc>
          <w:tcPr>
            <w:tcW w:w="1218" w:type="dxa"/>
            <w:tcBorders>
              <w:top w:val="nil"/>
              <w:left w:val="nil"/>
              <w:bottom w:val="nil"/>
              <w:right w:val="nil"/>
            </w:tcBorders>
            <w:shd w:val="clear" w:color="000000" w:fill="FFFFFF"/>
            <w:noWrap/>
            <w:vAlign w:val="bottom"/>
            <w:hideMark/>
          </w:tcPr>
          <w:p w14:paraId="1BD9DA70"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239,857 </w:t>
            </w:r>
          </w:p>
        </w:tc>
        <w:tc>
          <w:tcPr>
            <w:tcW w:w="1218" w:type="dxa"/>
            <w:tcBorders>
              <w:top w:val="nil"/>
              <w:left w:val="nil"/>
              <w:bottom w:val="nil"/>
              <w:right w:val="nil"/>
            </w:tcBorders>
            <w:shd w:val="clear" w:color="000000" w:fill="FFFFFF"/>
            <w:noWrap/>
            <w:vAlign w:val="bottom"/>
            <w:hideMark/>
          </w:tcPr>
          <w:p w14:paraId="0F9DC99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234,009 </w:t>
            </w:r>
          </w:p>
        </w:tc>
        <w:tc>
          <w:tcPr>
            <w:tcW w:w="1218" w:type="dxa"/>
            <w:tcBorders>
              <w:top w:val="nil"/>
              <w:left w:val="nil"/>
              <w:bottom w:val="nil"/>
              <w:right w:val="nil"/>
            </w:tcBorders>
            <w:shd w:val="clear" w:color="000000" w:fill="FFFFFF"/>
            <w:noWrap/>
            <w:vAlign w:val="bottom"/>
            <w:hideMark/>
          </w:tcPr>
          <w:p w14:paraId="334B639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302,873 </w:t>
            </w:r>
          </w:p>
        </w:tc>
        <w:tc>
          <w:tcPr>
            <w:tcW w:w="1218" w:type="dxa"/>
            <w:tcBorders>
              <w:top w:val="nil"/>
              <w:left w:val="nil"/>
              <w:bottom w:val="nil"/>
              <w:right w:val="nil"/>
            </w:tcBorders>
            <w:shd w:val="clear" w:color="000000" w:fill="FFFFFF"/>
            <w:noWrap/>
            <w:vAlign w:val="bottom"/>
            <w:hideMark/>
          </w:tcPr>
          <w:p w14:paraId="6E38B1D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340,015 </w:t>
            </w:r>
          </w:p>
        </w:tc>
        <w:tc>
          <w:tcPr>
            <w:tcW w:w="1218" w:type="dxa"/>
            <w:tcBorders>
              <w:top w:val="nil"/>
              <w:left w:val="nil"/>
              <w:bottom w:val="nil"/>
              <w:right w:val="nil"/>
            </w:tcBorders>
            <w:shd w:val="clear" w:color="000000" w:fill="FFFFFF"/>
            <w:noWrap/>
            <w:vAlign w:val="bottom"/>
            <w:hideMark/>
          </w:tcPr>
          <w:p w14:paraId="100B1CA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422,831 </w:t>
            </w:r>
          </w:p>
        </w:tc>
        <w:tc>
          <w:tcPr>
            <w:tcW w:w="1218" w:type="dxa"/>
            <w:tcBorders>
              <w:top w:val="nil"/>
              <w:left w:val="nil"/>
              <w:bottom w:val="nil"/>
              <w:right w:val="nil"/>
            </w:tcBorders>
            <w:shd w:val="clear" w:color="000000" w:fill="FFFFFF"/>
            <w:noWrap/>
            <w:vAlign w:val="bottom"/>
            <w:hideMark/>
          </w:tcPr>
          <w:p w14:paraId="15564E31"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519,717 </w:t>
            </w:r>
          </w:p>
        </w:tc>
        <w:tc>
          <w:tcPr>
            <w:tcW w:w="1218" w:type="dxa"/>
            <w:tcBorders>
              <w:top w:val="nil"/>
              <w:left w:val="nil"/>
              <w:bottom w:val="nil"/>
              <w:right w:val="single" w:sz="4" w:space="0" w:color="auto"/>
            </w:tcBorders>
            <w:shd w:val="clear" w:color="000000" w:fill="FFFFFF"/>
            <w:noWrap/>
            <w:vAlign w:val="bottom"/>
            <w:hideMark/>
          </w:tcPr>
          <w:p w14:paraId="2B02716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r w:rsidR="001060C3" w:rsidRPr="00906189" w14:paraId="2D50166F"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70A0471C"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Estimated cost to CLC</w:t>
            </w:r>
          </w:p>
        </w:tc>
        <w:tc>
          <w:tcPr>
            <w:tcW w:w="1218" w:type="dxa"/>
            <w:tcBorders>
              <w:top w:val="nil"/>
              <w:left w:val="nil"/>
              <w:bottom w:val="nil"/>
              <w:right w:val="nil"/>
            </w:tcBorders>
            <w:shd w:val="clear" w:color="000000" w:fill="FFFFFF"/>
            <w:noWrap/>
            <w:vAlign w:val="bottom"/>
            <w:hideMark/>
          </w:tcPr>
          <w:p w14:paraId="4FD4F59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202,982 </w:t>
            </w:r>
          </w:p>
        </w:tc>
        <w:tc>
          <w:tcPr>
            <w:tcW w:w="1218" w:type="dxa"/>
            <w:tcBorders>
              <w:top w:val="nil"/>
              <w:left w:val="nil"/>
              <w:bottom w:val="nil"/>
              <w:right w:val="nil"/>
            </w:tcBorders>
            <w:shd w:val="clear" w:color="000000" w:fill="FFFFFF"/>
            <w:noWrap/>
            <w:vAlign w:val="bottom"/>
            <w:hideMark/>
          </w:tcPr>
          <w:p w14:paraId="37DE2B1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259,665 </w:t>
            </w:r>
          </w:p>
        </w:tc>
        <w:tc>
          <w:tcPr>
            <w:tcW w:w="1218" w:type="dxa"/>
            <w:tcBorders>
              <w:top w:val="nil"/>
              <w:left w:val="nil"/>
              <w:bottom w:val="nil"/>
              <w:right w:val="nil"/>
            </w:tcBorders>
            <w:shd w:val="clear" w:color="000000" w:fill="FFFFFF"/>
            <w:noWrap/>
            <w:vAlign w:val="bottom"/>
            <w:hideMark/>
          </w:tcPr>
          <w:p w14:paraId="6127387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322,573 </w:t>
            </w:r>
          </w:p>
        </w:tc>
        <w:tc>
          <w:tcPr>
            <w:tcW w:w="1218" w:type="dxa"/>
            <w:tcBorders>
              <w:top w:val="nil"/>
              <w:left w:val="nil"/>
              <w:bottom w:val="nil"/>
              <w:right w:val="nil"/>
            </w:tcBorders>
            <w:shd w:val="clear" w:color="000000" w:fill="FFFFFF"/>
            <w:noWrap/>
            <w:vAlign w:val="bottom"/>
            <w:hideMark/>
          </w:tcPr>
          <w:p w14:paraId="38AF034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364,672 </w:t>
            </w:r>
          </w:p>
        </w:tc>
        <w:tc>
          <w:tcPr>
            <w:tcW w:w="1218" w:type="dxa"/>
            <w:tcBorders>
              <w:top w:val="nil"/>
              <w:left w:val="nil"/>
              <w:bottom w:val="nil"/>
              <w:right w:val="nil"/>
            </w:tcBorders>
            <w:shd w:val="clear" w:color="000000" w:fill="FFFFFF"/>
            <w:noWrap/>
            <w:vAlign w:val="bottom"/>
            <w:hideMark/>
          </w:tcPr>
          <w:p w14:paraId="2D1D9BE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422,533 </w:t>
            </w:r>
          </w:p>
        </w:tc>
        <w:tc>
          <w:tcPr>
            <w:tcW w:w="1218" w:type="dxa"/>
            <w:tcBorders>
              <w:top w:val="nil"/>
              <w:left w:val="nil"/>
              <w:bottom w:val="nil"/>
              <w:right w:val="nil"/>
            </w:tcBorders>
            <w:shd w:val="clear" w:color="000000" w:fill="FFFFFF"/>
            <w:noWrap/>
            <w:vAlign w:val="bottom"/>
            <w:hideMark/>
          </w:tcPr>
          <w:p w14:paraId="63F2AFF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496,238 </w:t>
            </w:r>
          </w:p>
        </w:tc>
        <w:tc>
          <w:tcPr>
            <w:tcW w:w="1218" w:type="dxa"/>
            <w:tcBorders>
              <w:top w:val="nil"/>
              <w:left w:val="nil"/>
              <w:bottom w:val="nil"/>
              <w:right w:val="single" w:sz="4" w:space="0" w:color="auto"/>
            </w:tcBorders>
            <w:shd w:val="clear" w:color="000000" w:fill="FFFFFF"/>
            <w:noWrap/>
            <w:vAlign w:val="bottom"/>
            <w:hideMark/>
          </w:tcPr>
          <w:p w14:paraId="7055F976"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686,511 </w:t>
            </w:r>
          </w:p>
        </w:tc>
      </w:tr>
      <w:tr w:rsidR="001060C3" w:rsidRPr="00906189" w14:paraId="69114E7A"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74796FD2"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Estimated total cost</w:t>
            </w:r>
          </w:p>
        </w:tc>
        <w:tc>
          <w:tcPr>
            <w:tcW w:w="1218" w:type="dxa"/>
            <w:tcBorders>
              <w:top w:val="nil"/>
              <w:left w:val="nil"/>
              <w:bottom w:val="nil"/>
              <w:right w:val="nil"/>
            </w:tcBorders>
            <w:shd w:val="clear" w:color="000000" w:fill="FFFFFF"/>
            <w:noWrap/>
            <w:vAlign w:val="bottom"/>
            <w:hideMark/>
          </w:tcPr>
          <w:p w14:paraId="71C3C0C6"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11,180,000 </w:t>
            </w:r>
          </w:p>
        </w:tc>
        <w:tc>
          <w:tcPr>
            <w:tcW w:w="1218" w:type="dxa"/>
            <w:tcBorders>
              <w:top w:val="nil"/>
              <w:left w:val="nil"/>
              <w:bottom w:val="nil"/>
              <w:right w:val="nil"/>
            </w:tcBorders>
            <w:shd w:val="clear" w:color="000000" w:fill="FFFFFF"/>
            <w:noWrap/>
            <w:vAlign w:val="bottom"/>
            <w:hideMark/>
          </w:tcPr>
          <w:p w14:paraId="7DC764EF"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10,610,000 </w:t>
            </w:r>
          </w:p>
        </w:tc>
        <w:tc>
          <w:tcPr>
            <w:tcW w:w="1218" w:type="dxa"/>
            <w:tcBorders>
              <w:top w:val="nil"/>
              <w:left w:val="nil"/>
              <w:bottom w:val="nil"/>
              <w:right w:val="nil"/>
            </w:tcBorders>
            <w:shd w:val="clear" w:color="000000" w:fill="FFFFFF"/>
            <w:noWrap/>
            <w:vAlign w:val="bottom"/>
            <w:hideMark/>
          </w:tcPr>
          <w:p w14:paraId="6578328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10,697,000 </w:t>
            </w:r>
          </w:p>
        </w:tc>
        <w:tc>
          <w:tcPr>
            <w:tcW w:w="1218" w:type="dxa"/>
            <w:tcBorders>
              <w:top w:val="nil"/>
              <w:left w:val="nil"/>
              <w:bottom w:val="nil"/>
              <w:right w:val="nil"/>
            </w:tcBorders>
            <w:shd w:val="clear" w:color="000000" w:fill="FFFFFF"/>
            <w:noWrap/>
            <w:vAlign w:val="bottom"/>
            <w:hideMark/>
          </w:tcPr>
          <w:p w14:paraId="4F36B80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11,247,528 </w:t>
            </w:r>
          </w:p>
        </w:tc>
        <w:tc>
          <w:tcPr>
            <w:tcW w:w="1218" w:type="dxa"/>
            <w:tcBorders>
              <w:top w:val="nil"/>
              <w:left w:val="nil"/>
              <w:bottom w:val="nil"/>
              <w:right w:val="nil"/>
            </w:tcBorders>
            <w:shd w:val="clear" w:color="000000" w:fill="FFFFFF"/>
            <w:noWrap/>
            <w:vAlign w:val="bottom"/>
            <w:hideMark/>
          </w:tcPr>
          <w:p w14:paraId="013E1E90"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11,232,000 </w:t>
            </w:r>
          </w:p>
        </w:tc>
        <w:tc>
          <w:tcPr>
            <w:tcW w:w="1218" w:type="dxa"/>
            <w:tcBorders>
              <w:top w:val="nil"/>
              <w:left w:val="nil"/>
              <w:bottom w:val="nil"/>
              <w:right w:val="nil"/>
            </w:tcBorders>
            <w:shd w:val="clear" w:color="000000" w:fill="FFFFFF"/>
            <w:noWrap/>
            <w:vAlign w:val="bottom"/>
            <w:hideMark/>
          </w:tcPr>
          <w:p w14:paraId="47273B20"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11,592,000 </w:t>
            </w:r>
          </w:p>
        </w:tc>
        <w:tc>
          <w:tcPr>
            <w:tcW w:w="1218" w:type="dxa"/>
            <w:tcBorders>
              <w:top w:val="nil"/>
              <w:left w:val="nil"/>
              <w:bottom w:val="nil"/>
              <w:right w:val="single" w:sz="4" w:space="0" w:color="auto"/>
            </w:tcBorders>
            <w:shd w:val="clear" w:color="000000" w:fill="FFFFFF"/>
            <w:noWrap/>
            <w:vAlign w:val="bottom"/>
            <w:hideMark/>
          </w:tcPr>
          <w:p w14:paraId="4714190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13,031,275 </w:t>
            </w:r>
          </w:p>
        </w:tc>
      </w:tr>
      <w:tr w:rsidR="001060C3" w:rsidRPr="00906189" w14:paraId="6D1AE289"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57FC80DA"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Actual total cost</w:t>
            </w:r>
          </w:p>
        </w:tc>
        <w:tc>
          <w:tcPr>
            <w:tcW w:w="1218" w:type="dxa"/>
            <w:tcBorders>
              <w:top w:val="nil"/>
              <w:left w:val="nil"/>
              <w:bottom w:val="nil"/>
              <w:right w:val="nil"/>
            </w:tcBorders>
            <w:shd w:val="clear" w:color="000000" w:fill="FFFFFF"/>
            <w:noWrap/>
            <w:vAlign w:val="bottom"/>
            <w:hideMark/>
          </w:tcPr>
          <w:p w14:paraId="0CE7FF91"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13,187,401 </w:t>
            </w:r>
          </w:p>
        </w:tc>
        <w:tc>
          <w:tcPr>
            <w:tcW w:w="1218" w:type="dxa"/>
            <w:tcBorders>
              <w:top w:val="nil"/>
              <w:left w:val="nil"/>
              <w:bottom w:val="nil"/>
              <w:right w:val="nil"/>
            </w:tcBorders>
            <w:shd w:val="clear" w:color="000000" w:fill="FFFFFF"/>
            <w:noWrap/>
            <w:vAlign w:val="bottom"/>
            <w:hideMark/>
          </w:tcPr>
          <w:p w14:paraId="3B442562"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9,712,645 </w:t>
            </w:r>
          </w:p>
        </w:tc>
        <w:tc>
          <w:tcPr>
            <w:tcW w:w="1218" w:type="dxa"/>
            <w:tcBorders>
              <w:top w:val="nil"/>
              <w:left w:val="nil"/>
              <w:bottom w:val="nil"/>
              <w:right w:val="nil"/>
            </w:tcBorders>
            <w:shd w:val="clear" w:color="000000" w:fill="FFFFFF"/>
            <w:noWrap/>
            <w:vAlign w:val="bottom"/>
            <w:hideMark/>
          </w:tcPr>
          <w:p w14:paraId="405AF3EC"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10,163,692 </w:t>
            </w:r>
          </w:p>
        </w:tc>
        <w:tc>
          <w:tcPr>
            <w:tcW w:w="1218" w:type="dxa"/>
            <w:tcBorders>
              <w:top w:val="nil"/>
              <w:left w:val="nil"/>
              <w:bottom w:val="nil"/>
              <w:right w:val="nil"/>
            </w:tcBorders>
            <w:shd w:val="clear" w:color="000000" w:fill="FFFFFF"/>
            <w:noWrap/>
            <w:vAlign w:val="bottom"/>
            <w:hideMark/>
          </w:tcPr>
          <w:p w14:paraId="7C4C7DF8"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10,590,295 </w:t>
            </w:r>
          </w:p>
        </w:tc>
        <w:tc>
          <w:tcPr>
            <w:tcW w:w="1218" w:type="dxa"/>
            <w:tcBorders>
              <w:top w:val="nil"/>
              <w:left w:val="nil"/>
              <w:bottom w:val="nil"/>
              <w:right w:val="nil"/>
            </w:tcBorders>
            <w:shd w:val="clear" w:color="000000" w:fill="FFFFFF"/>
            <w:noWrap/>
            <w:vAlign w:val="bottom"/>
            <w:hideMark/>
          </w:tcPr>
          <w:p w14:paraId="1D89A01C"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11,328,955 </w:t>
            </w:r>
          </w:p>
        </w:tc>
        <w:tc>
          <w:tcPr>
            <w:tcW w:w="1218" w:type="dxa"/>
            <w:tcBorders>
              <w:top w:val="nil"/>
              <w:left w:val="nil"/>
              <w:bottom w:val="nil"/>
              <w:right w:val="nil"/>
            </w:tcBorders>
            <w:shd w:val="clear" w:color="000000" w:fill="FFFFFF"/>
            <w:noWrap/>
            <w:vAlign w:val="bottom"/>
            <w:hideMark/>
          </w:tcPr>
          <w:p w14:paraId="43D02651"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12,216,431 </w:t>
            </w:r>
          </w:p>
        </w:tc>
        <w:tc>
          <w:tcPr>
            <w:tcW w:w="1218" w:type="dxa"/>
            <w:tcBorders>
              <w:top w:val="nil"/>
              <w:left w:val="nil"/>
              <w:bottom w:val="nil"/>
              <w:right w:val="single" w:sz="4" w:space="0" w:color="auto"/>
            </w:tcBorders>
            <w:shd w:val="clear" w:color="000000" w:fill="FFFFFF"/>
            <w:noWrap/>
            <w:vAlign w:val="bottom"/>
            <w:hideMark/>
          </w:tcPr>
          <w:p w14:paraId="235ACA98"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r w:rsidR="001060C3" w:rsidRPr="00906189" w14:paraId="776414AB"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3B71A040"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111D821B"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34150AE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264FB8C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5B71607F"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278FC1AE"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nil"/>
            </w:tcBorders>
            <w:shd w:val="clear" w:color="000000" w:fill="FFFFFF"/>
            <w:noWrap/>
            <w:vAlign w:val="bottom"/>
            <w:hideMark/>
          </w:tcPr>
          <w:p w14:paraId="5105E602"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c>
          <w:tcPr>
            <w:tcW w:w="1218" w:type="dxa"/>
            <w:tcBorders>
              <w:top w:val="nil"/>
              <w:left w:val="nil"/>
              <w:bottom w:val="nil"/>
              <w:right w:val="single" w:sz="4" w:space="0" w:color="auto"/>
            </w:tcBorders>
            <w:shd w:val="clear" w:color="000000" w:fill="FFFFFF"/>
            <w:noWrap/>
            <w:vAlign w:val="bottom"/>
            <w:hideMark/>
          </w:tcPr>
          <w:p w14:paraId="6A55C499"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w:t>
            </w:r>
          </w:p>
        </w:tc>
      </w:tr>
      <w:tr w:rsidR="001060C3" w:rsidRPr="00906189" w14:paraId="2F8A7B70" w14:textId="77777777" w:rsidTr="001060C3">
        <w:trPr>
          <w:trHeight w:val="300"/>
        </w:trPr>
        <w:tc>
          <w:tcPr>
            <w:tcW w:w="2269" w:type="dxa"/>
            <w:tcBorders>
              <w:top w:val="nil"/>
              <w:left w:val="single" w:sz="4" w:space="0" w:color="auto"/>
              <w:bottom w:val="nil"/>
              <w:right w:val="single" w:sz="4" w:space="0" w:color="auto"/>
            </w:tcBorders>
            <w:shd w:val="clear" w:color="auto" w:fill="EDEDED" w:themeFill="accent3" w:themeFillTint="33"/>
            <w:noWrap/>
            <w:vAlign w:val="bottom"/>
            <w:hideMark/>
          </w:tcPr>
          <w:p w14:paraId="5579E453" w14:textId="77777777" w:rsidR="001060C3" w:rsidRPr="00906189" w:rsidRDefault="001060C3" w:rsidP="00A8788E">
            <w:pPr>
              <w:spacing w:after="0" w:line="240" w:lineRule="auto"/>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Estimated cost per case</w:t>
            </w:r>
          </w:p>
        </w:tc>
        <w:tc>
          <w:tcPr>
            <w:tcW w:w="1218" w:type="dxa"/>
            <w:tcBorders>
              <w:top w:val="nil"/>
              <w:left w:val="nil"/>
              <w:bottom w:val="nil"/>
              <w:right w:val="nil"/>
            </w:tcBorders>
            <w:shd w:val="clear" w:color="000000" w:fill="FFFFFF"/>
            <w:noWrap/>
            <w:vAlign w:val="bottom"/>
            <w:hideMark/>
          </w:tcPr>
          <w:p w14:paraId="403915E6"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1,335.41 </w:t>
            </w:r>
          </w:p>
        </w:tc>
        <w:tc>
          <w:tcPr>
            <w:tcW w:w="1218" w:type="dxa"/>
            <w:tcBorders>
              <w:top w:val="nil"/>
              <w:left w:val="nil"/>
              <w:bottom w:val="nil"/>
              <w:right w:val="nil"/>
            </w:tcBorders>
            <w:shd w:val="clear" w:color="000000" w:fill="FFFFFF"/>
            <w:noWrap/>
            <w:vAlign w:val="bottom"/>
            <w:hideMark/>
          </w:tcPr>
          <w:p w14:paraId="6909F8E9"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1,411.22 </w:t>
            </w:r>
          </w:p>
        </w:tc>
        <w:tc>
          <w:tcPr>
            <w:tcW w:w="1218" w:type="dxa"/>
            <w:tcBorders>
              <w:top w:val="nil"/>
              <w:left w:val="nil"/>
              <w:bottom w:val="nil"/>
              <w:right w:val="nil"/>
            </w:tcBorders>
            <w:shd w:val="clear" w:color="000000" w:fill="FFFFFF"/>
            <w:noWrap/>
            <w:vAlign w:val="bottom"/>
            <w:hideMark/>
          </w:tcPr>
          <w:p w14:paraId="3E9EF31D"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1,486.51 </w:t>
            </w:r>
          </w:p>
        </w:tc>
        <w:tc>
          <w:tcPr>
            <w:tcW w:w="1218" w:type="dxa"/>
            <w:tcBorders>
              <w:top w:val="nil"/>
              <w:left w:val="nil"/>
              <w:bottom w:val="nil"/>
              <w:right w:val="nil"/>
            </w:tcBorders>
            <w:shd w:val="clear" w:color="000000" w:fill="FFFFFF"/>
            <w:noWrap/>
            <w:vAlign w:val="bottom"/>
            <w:hideMark/>
          </w:tcPr>
          <w:p w14:paraId="72E16BA9"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1,571.86 </w:t>
            </w:r>
          </w:p>
        </w:tc>
        <w:tc>
          <w:tcPr>
            <w:tcW w:w="1218" w:type="dxa"/>
            <w:tcBorders>
              <w:top w:val="nil"/>
              <w:left w:val="nil"/>
              <w:bottom w:val="nil"/>
              <w:right w:val="nil"/>
            </w:tcBorders>
            <w:shd w:val="clear" w:color="000000" w:fill="FFFFFF"/>
            <w:noWrap/>
            <w:vAlign w:val="bottom"/>
            <w:hideMark/>
          </w:tcPr>
          <w:p w14:paraId="4CEC2137"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1,821.26 </w:t>
            </w:r>
          </w:p>
        </w:tc>
        <w:tc>
          <w:tcPr>
            <w:tcW w:w="1218" w:type="dxa"/>
            <w:tcBorders>
              <w:top w:val="nil"/>
              <w:left w:val="nil"/>
              <w:bottom w:val="nil"/>
              <w:right w:val="nil"/>
            </w:tcBorders>
            <w:shd w:val="clear" w:color="000000" w:fill="FFFFFF"/>
            <w:noWrap/>
            <w:vAlign w:val="bottom"/>
            <w:hideMark/>
          </w:tcPr>
          <w:p w14:paraId="19C30756"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1,961.42 </w:t>
            </w:r>
          </w:p>
        </w:tc>
        <w:tc>
          <w:tcPr>
            <w:tcW w:w="1218" w:type="dxa"/>
            <w:tcBorders>
              <w:top w:val="nil"/>
              <w:left w:val="nil"/>
              <w:bottom w:val="nil"/>
              <w:right w:val="single" w:sz="4" w:space="0" w:color="auto"/>
            </w:tcBorders>
            <w:shd w:val="clear" w:color="000000" w:fill="FFFFFF"/>
            <w:noWrap/>
            <w:vAlign w:val="bottom"/>
            <w:hideMark/>
          </w:tcPr>
          <w:p w14:paraId="69FD253D" w14:textId="77777777" w:rsidR="001060C3" w:rsidRPr="00906189" w:rsidRDefault="001060C3" w:rsidP="00A8788E">
            <w:pPr>
              <w:spacing w:after="0" w:line="240" w:lineRule="auto"/>
              <w:jc w:val="right"/>
              <w:rPr>
                <w:rFonts w:ascii="Calibri" w:eastAsia="Times New Roman" w:hAnsi="Calibri" w:cs="Times New Roman"/>
                <w:b/>
                <w:bCs/>
                <w:color w:val="000000"/>
                <w:lang w:eastAsia="en-GB"/>
              </w:rPr>
            </w:pPr>
            <w:r w:rsidRPr="00906189">
              <w:rPr>
                <w:rFonts w:ascii="Calibri" w:eastAsia="Times New Roman" w:hAnsi="Calibri" w:cs="Times New Roman"/>
                <w:b/>
                <w:bCs/>
                <w:color w:val="000000"/>
                <w:lang w:eastAsia="en-GB"/>
              </w:rPr>
              <w:t xml:space="preserve">    2,610.31 </w:t>
            </w:r>
          </w:p>
        </w:tc>
      </w:tr>
      <w:tr w:rsidR="001060C3" w:rsidRPr="00906189" w14:paraId="5739DEBF" w14:textId="77777777" w:rsidTr="001060C3">
        <w:trPr>
          <w:trHeight w:val="300"/>
        </w:trPr>
        <w:tc>
          <w:tcPr>
            <w:tcW w:w="226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EAE4F34" w14:textId="77777777" w:rsidR="001060C3" w:rsidRPr="00906189" w:rsidRDefault="001060C3" w:rsidP="00A8788E">
            <w:pPr>
              <w:spacing w:after="0" w:line="240" w:lineRule="auto"/>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Actual cost per case</w:t>
            </w:r>
          </w:p>
        </w:tc>
        <w:tc>
          <w:tcPr>
            <w:tcW w:w="1218" w:type="dxa"/>
            <w:tcBorders>
              <w:top w:val="nil"/>
              <w:left w:val="nil"/>
              <w:bottom w:val="single" w:sz="4" w:space="0" w:color="auto"/>
              <w:right w:val="nil"/>
            </w:tcBorders>
            <w:shd w:val="clear" w:color="000000" w:fill="FFFFFF"/>
            <w:noWrap/>
            <w:vAlign w:val="bottom"/>
            <w:hideMark/>
          </w:tcPr>
          <w:p w14:paraId="30215DBA"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1,578.01 </w:t>
            </w:r>
          </w:p>
        </w:tc>
        <w:tc>
          <w:tcPr>
            <w:tcW w:w="1218" w:type="dxa"/>
            <w:tcBorders>
              <w:top w:val="nil"/>
              <w:left w:val="nil"/>
              <w:bottom w:val="single" w:sz="4" w:space="0" w:color="auto"/>
              <w:right w:val="nil"/>
            </w:tcBorders>
            <w:shd w:val="clear" w:color="000000" w:fill="FFFFFF"/>
            <w:noWrap/>
            <w:vAlign w:val="bottom"/>
            <w:hideMark/>
          </w:tcPr>
          <w:p w14:paraId="0B156856"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1,271.79 </w:t>
            </w:r>
          </w:p>
        </w:tc>
        <w:tc>
          <w:tcPr>
            <w:tcW w:w="1218" w:type="dxa"/>
            <w:tcBorders>
              <w:top w:val="nil"/>
              <w:left w:val="nil"/>
              <w:bottom w:val="single" w:sz="4" w:space="0" w:color="auto"/>
              <w:right w:val="nil"/>
            </w:tcBorders>
            <w:shd w:val="clear" w:color="000000" w:fill="FFFFFF"/>
            <w:noWrap/>
            <w:vAlign w:val="bottom"/>
            <w:hideMark/>
          </w:tcPr>
          <w:p w14:paraId="4F5074D2"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1,395.73 </w:t>
            </w:r>
          </w:p>
        </w:tc>
        <w:tc>
          <w:tcPr>
            <w:tcW w:w="1218" w:type="dxa"/>
            <w:tcBorders>
              <w:top w:val="nil"/>
              <w:left w:val="nil"/>
              <w:bottom w:val="single" w:sz="4" w:space="0" w:color="auto"/>
              <w:right w:val="nil"/>
            </w:tcBorders>
            <w:shd w:val="clear" w:color="000000" w:fill="FFFFFF"/>
            <w:noWrap/>
            <w:vAlign w:val="bottom"/>
            <w:hideMark/>
          </w:tcPr>
          <w:p w14:paraId="5C9E845D"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1,465.58 </w:t>
            </w:r>
          </w:p>
        </w:tc>
        <w:tc>
          <w:tcPr>
            <w:tcW w:w="1218" w:type="dxa"/>
            <w:tcBorders>
              <w:top w:val="nil"/>
              <w:left w:val="nil"/>
              <w:bottom w:val="single" w:sz="4" w:space="0" w:color="auto"/>
              <w:right w:val="nil"/>
            </w:tcBorders>
            <w:shd w:val="clear" w:color="000000" w:fill="FFFFFF"/>
            <w:noWrap/>
            <w:vAlign w:val="bottom"/>
            <w:hideMark/>
          </w:tcPr>
          <w:p w14:paraId="4848C917"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1,822.55 </w:t>
            </w:r>
          </w:p>
        </w:tc>
        <w:tc>
          <w:tcPr>
            <w:tcW w:w="1218" w:type="dxa"/>
            <w:tcBorders>
              <w:top w:val="nil"/>
              <w:left w:val="nil"/>
              <w:bottom w:val="single" w:sz="4" w:space="0" w:color="auto"/>
              <w:right w:val="nil"/>
            </w:tcBorders>
            <w:shd w:val="clear" w:color="000000" w:fill="FFFFFF"/>
            <w:noWrap/>
            <w:vAlign w:val="bottom"/>
            <w:hideMark/>
          </w:tcPr>
          <w:p w14:paraId="2B574103"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2,054.22 </w:t>
            </w:r>
          </w:p>
        </w:tc>
        <w:tc>
          <w:tcPr>
            <w:tcW w:w="1218" w:type="dxa"/>
            <w:tcBorders>
              <w:top w:val="nil"/>
              <w:left w:val="nil"/>
              <w:bottom w:val="single" w:sz="4" w:space="0" w:color="auto"/>
              <w:right w:val="single" w:sz="4" w:space="0" w:color="auto"/>
            </w:tcBorders>
            <w:shd w:val="clear" w:color="000000" w:fill="FFFFFF"/>
            <w:noWrap/>
            <w:vAlign w:val="bottom"/>
            <w:hideMark/>
          </w:tcPr>
          <w:p w14:paraId="4D65D8C5" w14:textId="77777777" w:rsidR="001060C3" w:rsidRPr="00906189" w:rsidRDefault="001060C3" w:rsidP="00A8788E">
            <w:pPr>
              <w:spacing w:after="0" w:line="240" w:lineRule="auto"/>
              <w:jc w:val="right"/>
              <w:rPr>
                <w:rFonts w:ascii="Calibri" w:eastAsia="Times New Roman" w:hAnsi="Calibri" w:cs="Times New Roman"/>
                <w:color w:val="000000"/>
                <w:lang w:eastAsia="en-GB"/>
              </w:rPr>
            </w:pPr>
            <w:r w:rsidRPr="00906189">
              <w:rPr>
                <w:rFonts w:ascii="Calibri" w:eastAsia="Times New Roman" w:hAnsi="Calibri" w:cs="Times New Roman"/>
                <w:color w:val="000000"/>
                <w:lang w:eastAsia="en-GB"/>
              </w:rPr>
              <w:t xml:space="preserve">                  -   </w:t>
            </w:r>
          </w:p>
        </w:tc>
      </w:tr>
    </w:tbl>
    <w:p w14:paraId="622335C7" w14:textId="77777777" w:rsidR="001060C3" w:rsidRPr="00906189" w:rsidRDefault="001060C3" w:rsidP="001060C3">
      <w:pPr>
        <w:spacing w:line="240" w:lineRule="auto"/>
        <w:rPr>
          <w:rFonts w:cstheme="minorHAnsi"/>
        </w:rPr>
      </w:pPr>
    </w:p>
    <w:p w14:paraId="7BD2FED0" w14:textId="77777777" w:rsidR="001060C3" w:rsidRPr="00906189" w:rsidRDefault="001060C3" w:rsidP="001060C3">
      <w:pPr>
        <w:pStyle w:val="ListParagraph"/>
        <w:numPr>
          <w:ilvl w:val="0"/>
          <w:numId w:val="4"/>
        </w:numPr>
        <w:spacing w:line="240" w:lineRule="auto"/>
        <w:ind w:left="567"/>
        <w:contextualSpacing w:val="0"/>
        <w:rPr>
          <w:rFonts w:cstheme="minorHAnsi"/>
        </w:rPr>
      </w:pPr>
      <w:r w:rsidRPr="00906189">
        <w:rPr>
          <w:rFonts w:cstheme="minorHAnsi"/>
        </w:rPr>
        <w:t xml:space="preserve">The key observations from this </w:t>
      </w:r>
      <w:r>
        <w:rPr>
          <w:rFonts w:cstheme="minorHAnsi"/>
        </w:rPr>
        <w:t>analysis</w:t>
      </w:r>
      <w:r w:rsidRPr="00906189">
        <w:rPr>
          <w:rFonts w:cstheme="minorHAnsi"/>
        </w:rPr>
        <w:t xml:space="preserve"> are</w:t>
      </w:r>
      <w:r>
        <w:rPr>
          <w:rFonts w:cstheme="minorHAnsi"/>
        </w:rPr>
        <w:t xml:space="preserve"> that</w:t>
      </w:r>
      <w:r w:rsidRPr="00906189">
        <w:rPr>
          <w:rFonts w:cstheme="minorHAnsi"/>
        </w:rPr>
        <w:t>:</w:t>
      </w:r>
    </w:p>
    <w:p w14:paraId="68866480"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sidRPr="00906189">
        <w:rPr>
          <w:rFonts w:eastAsia="Times New Roman" w:cstheme="minorHAnsi"/>
        </w:rPr>
        <w:t xml:space="preserve">The numbers of cases originating from CLC regulated practices have been </w:t>
      </w:r>
      <w:r>
        <w:rPr>
          <w:rFonts w:eastAsia="Times New Roman" w:cstheme="minorHAnsi"/>
        </w:rPr>
        <w:t xml:space="preserve">steadily </w:t>
      </w:r>
      <w:r w:rsidRPr="00906189">
        <w:rPr>
          <w:rFonts w:eastAsia="Times New Roman" w:cstheme="minorHAnsi"/>
        </w:rPr>
        <w:t xml:space="preserve">increasing over the </w:t>
      </w:r>
      <w:r>
        <w:rPr>
          <w:rFonts w:eastAsia="Times New Roman" w:cstheme="minorHAnsi"/>
        </w:rPr>
        <w:t>past</w:t>
      </w:r>
      <w:r w:rsidRPr="00906189">
        <w:rPr>
          <w:rFonts w:eastAsia="Times New Roman" w:cstheme="minorHAnsi"/>
        </w:rPr>
        <w:t xml:space="preserve"> 7 years</w:t>
      </w:r>
      <w:r>
        <w:rPr>
          <w:rFonts w:eastAsia="Times New Roman" w:cstheme="minorHAnsi"/>
        </w:rPr>
        <w:t xml:space="preserve"> and for the current year is expected to reach 173% of the 2015-16 number</w:t>
      </w:r>
      <w:r w:rsidRPr="00906189">
        <w:rPr>
          <w:rFonts w:eastAsia="Times New Roman" w:cstheme="minorHAnsi"/>
        </w:rPr>
        <w:t>.</w:t>
      </w:r>
    </w:p>
    <w:p w14:paraId="06CA74EB"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Pr>
          <w:rFonts w:eastAsia="Times New Roman" w:cstheme="minorHAnsi"/>
        </w:rPr>
        <w:t>The t</w:t>
      </w:r>
      <w:r w:rsidRPr="00906189">
        <w:rPr>
          <w:rFonts w:eastAsia="Times New Roman" w:cstheme="minorHAnsi"/>
        </w:rPr>
        <w:t xml:space="preserve">otal number of cases investigated by the OLC have been decreasing steadily over the </w:t>
      </w:r>
      <w:r>
        <w:rPr>
          <w:rFonts w:eastAsia="Times New Roman" w:cstheme="minorHAnsi"/>
        </w:rPr>
        <w:t>past</w:t>
      </w:r>
      <w:r w:rsidRPr="00906189">
        <w:rPr>
          <w:rFonts w:eastAsia="Times New Roman" w:cstheme="minorHAnsi"/>
        </w:rPr>
        <w:t xml:space="preserve"> 7 years.</w:t>
      </w:r>
    </w:p>
    <w:p w14:paraId="1FF41CDC"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sidRPr="00906189">
        <w:rPr>
          <w:rFonts w:eastAsia="Times New Roman" w:cstheme="minorHAnsi"/>
        </w:rPr>
        <w:t xml:space="preserve">Because the cost is allocated </w:t>
      </w:r>
      <w:r>
        <w:rPr>
          <w:rFonts w:eastAsia="Times New Roman" w:cstheme="minorHAnsi"/>
        </w:rPr>
        <w:t xml:space="preserve">on a </w:t>
      </w:r>
      <w:r w:rsidRPr="00906189">
        <w:rPr>
          <w:rFonts w:eastAsia="Times New Roman" w:cstheme="minorHAnsi"/>
        </w:rPr>
        <w:t>per case</w:t>
      </w:r>
      <w:r>
        <w:rPr>
          <w:rFonts w:eastAsia="Times New Roman" w:cstheme="minorHAnsi"/>
        </w:rPr>
        <w:t xml:space="preserve"> basis</w:t>
      </w:r>
      <w:r w:rsidRPr="00906189">
        <w:rPr>
          <w:rFonts w:eastAsia="Times New Roman" w:cstheme="minorHAnsi"/>
        </w:rPr>
        <w:t>, the OLC cost allocated to the CLC has been increasing as we have a higher percentage of the total case numbers.</w:t>
      </w:r>
    </w:p>
    <w:p w14:paraId="7303F451"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sidRPr="00906189">
        <w:rPr>
          <w:rFonts w:eastAsia="Times New Roman" w:cstheme="minorHAnsi"/>
        </w:rPr>
        <w:t xml:space="preserve">Over the </w:t>
      </w:r>
      <w:r>
        <w:rPr>
          <w:rFonts w:eastAsia="Times New Roman" w:cstheme="minorHAnsi"/>
        </w:rPr>
        <w:t xml:space="preserve">previous </w:t>
      </w:r>
      <w:r w:rsidRPr="00906189">
        <w:rPr>
          <w:rFonts w:eastAsia="Times New Roman" w:cstheme="minorHAnsi"/>
        </w:rPr>
        <w:t xml:space="preserve">5 years </w:t>
      </w:r>
      <w:r>
        <w:rPr>
          <w:rFonts w:eastAsia="Times New Roman" w:cstheme="minorHAnsi"/>
        </w:rPr>
        <w:t>the CLC</w:t>
      </w:r>
      <w:r w:rsidRPr="00906189">
        <w:rPr>
          <w:rFonts w:eastAsia="Times New Roman" w:cstheme="minorHAnsi"/>
        </w:rPr>
        <w:t xml:space="preserve"> share of the OLC cases have increased from 1.82% to 5.3% - this means that the </w:t>
      </w:r>
      <w:r>
        <w:rPr>
          <w:rFonts w:eastAsia="Times New Roman" w:cstheme="minorHAnsi"/>
        </w:rPr>
        <w:t xml:space="preserve">proportion of </w:t>
      </w:r>
      <w:r w:rsidRPr="00906189">
        <w:rPr>
          <w:rFonts w:eastAsia="Times New Roman" w:cstheme="minorHAnsi"/>
        </w:rPr>
        <w:t>cases associated with CLC regulated practices have increased almost 3-fold</w:t>
      </w:r>
    </w:p>
    <w:p w14:paraId="79C0C3CE"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sidRPr="00906189">
        <w:rPr>
          <w:rFonts w:eastAsia="Times New Roman" w:cstheme="minorHAnsi"/>
        </w:rPr>
        <w:t>OLC operating costs have not increased significant</w:t>
      </w:r>
      <w:r>
        <w:rPr>
          <w:rFonts w:eastAsia="Times New Roman" w:cstheme="minorHAnsi"/>
        </w:rPr>
        <w:t>ly</w:t>
      </w:r>
      <w:r w:rsidRPr="00906189">
        <w:rPr>
          <w:rFonts w:eastAsia="Times New Roman" w:cstheme="minorHAnsi"/>
        </w:rPr>
        <w:t xml:space="preserve"> over the </w:t>
      </w:r>
      <w:r>
        <w:rPr>
          <w:rFonts w:eastAsia="Times New Roman" w:cstheme="minorHAnsi"/>
        </w:rPr>
        <w:t>past</w:t>
      </w:r>
      <w:r w:rsidRPr="00906189">
        <w:rPr>
          <w:rFonts w:eastAsia="Times New Roman" w:cstheme="minorHAnsi"/>
        </w:rPr>
        <w:t xml:space="preserve"> 7 years - the annual growth rate is around 2.2%.</w:t>
      </w:r>
    </w:p>
    <w:p w14:paraId="7324A3C1" w14:textId="77777777" w:rsidR="001060C3" w:rsidRDefault="001060C3" w:rsidP="001060C3">
      <w:pPr>
        <w:pStyle w:val="ListParagraph"/>
        <w:numPr>
          <w:ilvl w:val="0"/>
          <w:numId w:val="5"/>
        </w:numPr>
        <w:spacing w:line="240" w:lineRule="auto"/>
        <w:ind w:left="1440"/>
        <w:contextualSpacing w:val="0"/>
        <w:rPr>
          <w:rFonts w:eastAsia="Times New Roman" w:cstheme="minorHAnsi"/>
        </w:rPr>
      </w:pPr>
      <w:r w:rsidRPr="00906189">
        <w:rPr>
          <w:rFonts w:eastAsia="Times New Roman" w:cstheme="minorHAnsi"/>
        </w:rPr>
        <w:t>The</w:t>
      </w:r>
      <w:r>
        <w:rPr>
          <w:rFonts w:eastAsia="Times New Roman" w:cstheme="minorHAnsi"/>
        </w:rPr>
        <w:t xml:space="preserve"> increase in the</w:t>
      </w:r>
      <w:r w:rsidRPr="00906189">
        <w:rPr>
          <w:rFonts w:eastAsia="Times New Roman" w:cstheme="minorHAnsi"/>
        </w:rPr>
        <w:t xml:space="preserve"> </w:t>
      </w:r>
      <w:r>
        <w:rPr>
          <w:rFonts w:eastAsia="Times New Roman" w:cstheme="minorHAnsi"/>
        </w:rPr>
        <w:t>c</w:t>
      </w:r>
      <w:r w:rsidRPr="00906189">
        <w:rPr>
          <w:rFonts w:eastAsia="Times New Roman" w:cstheme="minorHAnsi"/>
        </w:rPr>
        <w:t xml:space="preserve">ost per case is </w:t>
      </w:r>
      <w:r>
        <w:rPr>
          <w:rFonts w:eastAsia="Times New Roman" w:cstheme="minorHAnsi"/>
        </w:rPr>
        <w:t>primarily</w:t>
      </w:r>
      <w:r w:rsidRPr="00906189">
        <w:rPr>
          <w:rFonts w:eastAsia="Times New Roman" w:cstheme="minorHAnsi"/>
        </w:rPr>
        <w:t xml:space="preserve"> due</w:t>
      </w:r>
      <w:r>
        <w:rPr>
          <w:rFonts w:eastAsia="Times New Roman" w:cstheme="minorHAnsi"/>
        </w:rPr>
        <w:t xml:space="preserve"> to</w:t>
      </w:r>
      <w:r w:rsidRPr="00906189">
        <w:rPr>
          <w:rFonts w:eastAsia="Times New Roman" w:cstheme="minorHAnsi"/>
        </w:rPr>
        <w:t xml:space="preserve"> </w:t>
      </w:r>
      <w:r>
        <w:rPr>
          <w:rFonts w:eastAsia="Times New Roman" w:cstheme="minorHAnsi"/>
        </w:rPr>
        <w:t>a 40.6% decrease in case numbers without a corresponding decrease in cost</w:t>
      </w:r>
      <w:r w:rsidRPr="00906189">
        <w:rPr>
          <w:rFonts w:eastAsia="Times New Roman" w:cstheme="minorHAnsi"/>
        </w:rPr>
        <w:t>.</w:t>
      </w:r>
      <w:r w:rsidRPr="00D300B6">
        <w:rPr>
          <w:rFonts w:eastAsia="Times New Roman" w:cstheme="minorHAnsi"/>
        </w:rPr>
        <w:t xml:space="preserve"> </w:t>
      </w:r>
    </w:p>
    <w:p w14:paraId="5FAB0EEF"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Pr>
          <w:rFonts w:eastAsia="Times New Roman" w:cstheme="minorHAnsi"/>
        </w:rPr>
        <w:t>Complaints against CLC firms remain low in absolute numbers but are expected to have increased by 73% between 2015-16 and 2021-22. However, the cost of the OLC to the CLC is expected to have nearly tripled over the same period, from £239,857 to a projected £686, 511.</w:t>
      </w:r>
    </w:p>
    <w:p w14:paraId="4068CF59" w14:textId="77777777" w:rsidR="001060C3" w:rsidRPr="00906189" w:rsidRDefault="001060C3" w:rsidP="001060C3">
      <w:pPr>
        <w:pStyle w:val="ListParagraph"/>
        <w:numPr>
          <w:ilvl w:val="0"/>
          <w:numId w:val="5"/>
        </w:numPr>
        <w:spacing w:line="240" w:lineRule="auto"/>
        <w:ind w:left="1440"/>
        <w:contextualSpacing w:val="0"/>
        <w:rPr>
          <w:rFonts w:eastAsia="Times New Roman" w:cstheme="minorHAnsi"/>
        </w:rPr>
      </w:pPr>
      <w:r w:rsidRPr="00906189">
        <w:rPr>
          <w:rFonts w:eastAsia="Times New Roman" w:cstheme="minorHAnsi"/>
        </w:rPr>
        <w:t>Assuming the above trends continue without intervention, the CLC and the regulated community can expect to see significant year</w:t>
      </w:r>
      <w:r>
        <w:rPr>
          <w:rFonts w:eastAsia="Times New Roman" w:cstheme="minorHAnsi"/>
        </w:rPr>
        <w:t>-</w:t>
      </w:r>
      <w:r w:rsidRPr="00906189">
        <w:rPr>
          <w:rFonts w:eastAsia="Times New Roman" w:cstheme="minorHAnsi"/>
        </w:rPr>
        <w:t>on</w:t>
      </w:r>
      <w:r>
        <w:rPr>
          <w:rFonts w:eastAsia="Times New Roman" w:cstheme="minorHAnsi"/>
        </w:rPr>
        <w:t>-</w:t>
      </w:r>
      <w:r w:rsidRPr="00906189">
        <w:rPr>
          <w:rFonts w:eastAsia="Times New Roman" w:cstheme="minorHAnsi"/>
        </w:rPr>
        <w:t>year cost increases over the short to medium term.</w:t>
      </w:r>
      <w:r>
        <w:rPr>
          <w:rFonts w:eastAsia="Times New Roman" w:cstheme="minorHAnsi"/>
        </w:rPr>
        <w:t xml:space="preserve"> </w:t>
      </w:r>
    </w:p>
    <w:p w14:paraId="3A065B9B" w14:textId="77777777" w:rsidR="001060C3" w:rsidRDefault="001060C3"/>
    <w:p w14:paraId="1F236A38" w14:textId="77777777" w:rsidR="001A7DC1" w:rsidRPr="005D7E41" w:rsidRDefault="001A7DC1" w:rsidP="005D7E41"/>
    <w:sectPr w:rsidR="001A7DC1" w:rsidRPr="005D7E41" w:rsidSect="001A7D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08F"/>
    <w:multiLevelType w:val="hybridMultilevel"/>
    <w:tmpl w:val="8B8AA5D6"/>
    <w:lvl w:ilvl="0" w:tplc="358CCC1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708C1"/>
    <w:multiLevelType w:val="hybridMultilevel"/>
    <w:tmpl w:val="04F45948"/>
    <w:lvl w:ilvl="0" w:tplc="5BDC8CFE">
      <w:start w:val="1"/>
      <w:numFmt w:val="decimal"/>
      <w:lvlText w:val="%1)"/>
      <w:lvlJc w:val="left"/>
      <w:pPr>
        <w:ind w:left="1495" w:hanging="360"/>
      </w:pPr>
      <w:rPr>
        <w:rFonts w:hint="default"/>
        <w:b w:val="0"/>
        <w:bCs w:val="0"/>
        <w:sz w:val="22"/>
        <w:szCs w:val="22"/>
      </w:rPr>
    </w:lvl>
    <w:lvl w:ilvl="1" w:tplc="D5BE5F9A">
      <w:start w:val="1"/>
      <w:numFmt w:val="lowerLetter"/>
      <w:lvlText w:val="%2."/>
      <w:lvlJc w:val="left"/>
      <w:pPr>
        <w:ind w:left="2160" w:hanging="360"/>
      </w:pPr>
      <w:rPr>
        <w:b w:val="0"/>
        <w:bCs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8EE4D3E"/>
    <w:multiLevelType w:val="hybridMultilevel"/>
    <w:tmpl w:val="37949C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85667E"/>
    <w:multiLevelType w:val="hybridMultilevel"/>
    <w:tmpl w:val="097C4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DB75A8"/>
    <w:multiLevelType w:val="hybridMultilevel"/>
    <w:tmpl w:val="7BF84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9A"/>
    <w:rsid w:val="00042E7A"/>
    <w:rsid w:val="0006736E"/>
    <w:rsid w:val="000A76F0"/>
    <w:rsid w:val="000B561D"/>
    <w:rsid w:val="001060C3"/>
    <w:rsid w:val="0010746E"/>
    <w:rsid w:val="001A7DC1"/>
    <w:rsid w:val="00257124"/>
    <w:rsid w:val="0027798B"/>
    <w:rsid w:val="002B7F90"/>
    <w:rsid w:val="0030063E"/>
    <w:rsid w:val="003268CC"/>
    <w:rsid w:val="00423671"/>
    <w:rsid w:val="004672BD"/>
    <w:rsid w:val="0055016C"/>
    <w:rsid w:val="005D7E41"/>
    <w:rsid w:val="00631417"/>
    <w:rsid w:val="00666C34"/>
    <w:rsid w:val="00671531"/>
    <w:rsid w:val="00673A08"/>
    <w:rsid w:val="006760E3"/>
    <w:rsid w:val="006C11E3"/>
    <w:rsid w:val="006F284F"/>
    <w:rsid w:val="007118C8"/>
    <w:rsid w:val="00725B62"/>
    <w:rsid w:val="007B1B88"/>
    <w:rsid w:val="007C3670"/>
    <w:rsid w:val="007F3711"/>
    <w:rsid w:val="00834538"/>
    <w:rsid w:val="00851CB6"/>
    <w:rsid w:val="00891111"/>
    <w:rsid w:val="00904F41"/>
    <w:rsid w:val="009203AD"/>
    <w:rsid w:val="0095451D"/>
    <w:rsid w:val="009D19AC"/>
    <w:rsid w:val="00A25850"/>
    <w:rsid w:val="00A366B4"/>
    <w:rsid w:val="00A65FA4"/>
    <w:rsid w:val="00AA7B9A"/>
    <w:rsid w:val="00AD0E30"/>
    <w:rsid w:val="00AE7ADB"/>
    <w:rsid w:val="00B07E4B"/>
    <w:rsid w:val="00B64109"/>
    <w:rsid w:val="00B84E0E"/>
    <w:rsid w:val="00BC232C"/>
    <w:rsid w:val="00C43C46"/>
    <w:rsid w:val="00C81C55"/>
    <w:rsid w:val="00C97583"/>
    <w:rsid w:val="00D64518"/>
    <w:rsid w:val="00DD3942"/>
    <w:rsid w:val="00DF04C5"/>
    <w:rsid w:val="00DF6399"/>
    <w:rsid w:val="00E031EA"/>
    <w:rsid w:val="00E54250"/>
    <w:rsid w:val="00E9296A"/>
    <w:rsid w:val="00EC2AC8"/>
    <w:rsid w:val="00F50A06"/>
    <w:rsid w:val="00F82555"/>
    <w:rsid w:val="00FA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CA57"/>
  <w15:docId w15:val="{10BABA78-F402-4D18-8504-6BF1F9D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41"/>
    <w:pPr>
      <w:ind w:left="720"/>
      <w:contextualSpacing/>
    </w:pPr>
  </w:style>
  <w:style w:type="table" w:styleId="TableGrid">
    <w:name w:val="Table Grid"/>
    <w:basedOn w:val="TableNormal"/>
    <w:uiPriority w:val="39"/>
    <w:rsid w:val="0085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Riddle</dc:creator>
  <cp:keywords/>
  <dc:description/>
  <cp:lastModifiedBy>Stephen Ward</cp:lastModifiedBy>
  <cp:revision>2</cp:revision>
  <dcterms:created xsi:type="dcterms:W3CDTF">2021-09-06T11:30:00Z</dcterms:created>
  <dcterms:modified xsi:type="dcterms:W3CDTF">2021-09-06T11:30:00Z</dcterms:modified>
</cp:coreProperties>
</file>