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FB" w:rsidRPr="00B53E62" w:rsidRDefault="00B53E62" w:rsidP="00E72CFB">
      <w:pPr>
        <w:rPr>
          <w:rFonts w:ascii="Malgun Gothic" w:eastAsia="Malgun Gothic" w:hAnsi="Malgun Gothic" w:cs="Arial"/>
          <w:sz w:val="28"/>
          <w:szCs w:val="28"/>
        </w:rPr>
      </w:pPr>
      <w:r w:rsidRPr="00B53E62">
        <w:rPr>
          <w:rFonts w:ascii="Malgun Gothic" w:eastAsia="Malgun Gothic" w:hAnsi="Malgun Gothic" w:cs="Arial"/>
          <w:sz w:val="28"/>
          <w:szCs w:val="28"/>
        </w:rPr>
        <w:t xml:space="preserve">Registered </w:t>
      </w:r>
      <w:r w:rsidR="00E72CFB" w:rsidRPr="00B53E62">
        <w:rPr>
          <w:rFonts w:ascii="Malgun Gothic" w:eastAsia="Malgun Gothic" w:hAnsi="Malgun Gothic" w:cs="Arial"/>
          <w:sz w:val="28"/>
          <w:szCs w:val="28"/>
        </w:rPr>
        <w:t>Manager Definition</w:t>
      </w:r>
    </w:p>
    <w:p w:rsidR="0079257F" w:rsidRPr="00B53E62" w:rsidRDefault="0079257F" w:rsidP="00E72CFB">
      <w:pPr>
        <w:spacing w:line="240" w:lineRule="auto"/>
        <w:rPr>
          <w:rFonts w:ascii="Malgun Gothic" w:eastAsia="Malgun Gothic" w:hAnsi="Malgun Gothic" w:cs="Arial"/>
          <w:sz w:val="24"/>
          <w:szCs w:val="24"/>
        </w:rPr>
      </w:pPr>
    </w:p>
    <w:p w:rsidR="00E72CFB" w:rsidRDefault="00E72CFB" w:rsidP="00E72CFB">
      <w:pPr>
        <w:spacing w:line="240" w:lineRule="auto"/>
        <w:rPr>
          <w:rFonts w:ascii="Malgun Gothic" w:eastAsia="Malgun Gothic" w:hAnsi="Malgun Gothic" w:cs="Arial"/>
          <w:b/>
          <w:sz w:val="24"/>
          <w:szCs w:val="24"/>
        </w:rPr>
      </w:pPr>
      <w:r w:rsidRPr="003A36AF">
        <w:rPr>
          <w:rFonts w:ascii="Malgun Gothic" w:eastAsia="Malgun Gothic" w:hAnsi="Malgun Gothic" w:cs="Arial"/>
          <w:b/>
          <w:sz w:val="24"/>
          <w:szCs w:val="24"/>
        </w:rPr>
        <w:t xml:space="preserve">A </w:t>
      </w:r>
      <w:r w:rsidR="00EF6479" w:rsidRPr="003A36AF">
        <w:rPr>
          <w:rFonts w:ascii="Malgun Gothic" w:eastAsia="Malgun Gothic" w:hAnsi="Malgun Gothic" w:cs="Arial"/>
          <w:b/>
          <w:sz w:val="24"/>
          <w:szCs w:val="24"/>
        </w:rPr>
        <w:t>‘</w:t>
      </w:r>
      <w:r w:rsidR="00B53E62" w:rsidRPr="003A36AF">
        <w:rPr>
          <w:rFonts w:ascii="Malgun Gothic" w:eastAsia="Malgun Gothic" w:hAnsi="Malgun Gothic" w:cs="Arial"/>
          <w:b/>
          <w:sz w:val="24"/>
          <w:szCs w:val="24"/>
        </w:rPr>
        <w:t>Registered M</w:t>
      </w:r>
      <w:r w:rsidRPr="003A36AF">
        <w:rPr>
          <w:rFonts w:ascii="Malgun Gothic" w:eastAsia="Malgun Gothic" w:hAnsi="Malgun Gothic" w:cs="Arial"/>
          <w:b/>
          <w:sz w:val="24"/>
          <w:szCs w:val="24"/>
        </w:rPr>
        <w:t xml:space="preserve">anager’ is defined as </w:t>
      </w:r>
      <w:r w:rsidR="00EF6479" w:rsidRPr="003A36AF">
        <w:rPr>
          <w:rFonts w:ascii="Malgun Gothic" w:eastAsia="Malgun Gothic" w:hAnsi="Malgun Gothic" w:cs="Arial"/>
          <w:b/>
          <w:sz w:val="24"/>
          <w:szCs w:val="24"/>
        </w:rPr>
        <w:t>an</w:t>
      </w:r>
      <w:r w:rsidRPr="003A36AF">
        <w:rPr>
          <w:rFonts w:ascii="Malgun Gothic" w:eastAsia="Malgun Gothic" w:hAnsi="Malgun Gothic" w:cs="Arial"/>
          <w:b/>
          <w:sz w:val="24"/>
          <w:szCs w:val="24"/>
        </w:rPr>
        <w:t xml:space="preserve"> </w:t>
      </w:r>
      <w:r w:rsidR="0079257F" w:rsidRPr="003A36AF">
        <w:rPr>
          <w:rFonts w:ascii="Malgun Gothic" w:eastAsia="Malgun Gothic" w:hAnsi="Malgun Gothic" w:cs="Arial"/>
          <w:b/>
          <w:sz w:val="24"/>
          <w:szCs w:val="24"/>
        </w:rPr>
        <w:t>individual</w:t>
      </w:r>
      <w:r w:rsidR="00B53E62" w:rsidRPr="003A36AF">
        <w:rPr>
          <w:rFonts w:ascii="Malgun Gothic" w:eastAsia="Malgun Gothic" w:hAnsi="Malgun Gothic" w:cs="Arial"/>
          <w:b/>
          <w:sz w:val="24"/>
          <w:szCs w:val="24"/>
        </w:rPr>
        <w:t xml:space="preserve"> who has been appointed at a </w:t>
      </w:r>
      <w:r w:rsidR="00B53E62" w:rsidRPr="003A36AF">
        <w:rPr>
          <w:rFonts w:ascii="Malgun Gothic" w:eastAsia="Malgun Gothic" w:hAnsi="Malgun Gothic" w:cs="Arial"/>
          <w:b/>
          <w:sz w:val="24"/>
          <w:szCs w:val="24"/>
          <w:u w:val="single"/>
        </w:rPr>
        <w:t>CLC regulated practice</w:t>
      </w:r>
      <w:r w:rsidR="00B53E62" w:rsidRPr="003A36AF">
        <w:rPr>
          <w:rFonts w:ascii="Malgun Gothic" w:eastAsia="Malgun Gothic" w:hAnsi="Malgun Gothic" w:cs="Arial"/>
          <w:b/>
          <w:sz w:val="24"/>
          <w:szCs w:val="24"/>
        </w:rPr>
        <w:t xml:space="preserve"> as one the below</w:t>
      </w:r>
      <w:r w:rsidRPr="003A36AF">
        <w:rPr>
          <w:rFonts w:ascii="Malgun Gothic" w:eastAsia="Malgun Gothic" w:hAnsi="Malgun Gothic" w:cs="Arial"/>
          <w:b/>
          <w:sz w:val="24"/>
          <w:szCs w:val="24"/>
        </w:rPr>
        <w:t>:</w:t>
      </w:r>
    </w:p>
    <w:p w:rsidR="00BB03A6" w:rsidRPr="003A36AF" w:rsidRDefault="00BB03A6" w:rsidP="00E72CFB">
      <w:pPr>
        <w:spacing w:line="240" w:lineRule="auto"/>
        <w:rPr>
          <w:rFonts w:ascii="Malgun Gothic" w:eastAsia="Malgun Gothic" w:hAnsi="Malgun Gothic" w:cs="Arial"/>
          <w:b/>
          <w:sz w:val="24"/>
          <w:szCs w:val="24"/>
        </w:rPr>
      </w:pPr>
    </w:p>
    <w:p w:rsidR="00E72CFB" w:rsidRPr="00B53E62" w:rsidRDefault="00E72CFB" w:rsidP="00BB03A6">
      <w:pPr>
        <w:pStyle w:val="ListParagraph"/>
        <w:numPr>
          <w:ilvl w:val="0"/>
          <w:numId w:val="3"/>
        </w:numPr>
        <w:spacing w:line="360" w:lineRule="auto"/>
        <w:rPr>
          <w:rFonts w:ascii="Malgun Gothic" w:eastAsia="Malgun Gothic" w:hAnsi="Malgun Gothic"/>
          <w:sz w:val="24"/>
          <w:szCs w:val="24"/>
        </w:rPr>
      </w:pPr>
      <w:r w:rsidRPr="00B53E62">
        <w:rPr>
          <w:rFonts w:ascii="Malgun Gothic" w:eastAsia="Malgun Gothic" w:hAnsi="Malgun Gothic"/>
          <w:sz w:val="24"/>
          <w:szCs w:val="24"/>
        </w:rPr>
        <w:t xml:space="preserve">if the body is a limited company, a </w:t>
      </w:r>
      <w:r w:rsidR="00BB03A6" w:rsidRPr="00BB03A6">
        <w:rPr>
          <w:rFonts w:ascii="Malgun Gothic" w:eastAsia="Malgun Gothic" w:hAnsi="Malgun Gothic"/>
          <w:b/>
          <w:sz w:val="24"/>
          <w:szCs w:val="24"/>
        </w:rPr>
        <w:t>shareholding or non-shareholding</w:t>
      </w:r>
      <w:r w:rsidR="00BB03A6" w:rsidRPr="00BB03A6">
        <w:rPr>
          <w:rFonts w:ascii="Malgun Gothic" w:eastAsia="Malgun Gothic" w:hAnsi="Malgun Gothic"/>
          <w:sz w:val="24"/>
          <w:szCs w:val="24"/>
        </w:rPr>
        <w:t xml:space="preserve"> </w:t>
      </w:r>
      <w:r w:rsidRPr="00BB03A6">
        <w:rPr>
          <w:rFonts w:ascii="Malgun Gothic" w:eastAsia="Malgun Gothic" w:hAnsi="Malgun Gothic"/>
          <w:b/>
          <w:sz w:val="24"/>
          <w:szCs w:val="24"/>
        </w:rPr>
        <w:t>director</w:t>
      </w:r>
      <w:r w:rsidR="00BB03A6">
        <w:rPr>
          <w:rFonts w:ascii="Malgun Gothic" w:eastAsia="Malgun Gothic" w:hAnsi="Malgun Gothic"/>
          <w:sz w:val="24"/>
          <w:szCs w:val="24"/>
        </w:rPr>
        <w:t xml:space="preserve">, </w:t>
      </w:r>
      <w:r w:rsidRPr="00B53E62">
        <w:rPr>
          <w:rFonts w:ascii="Malgun Gothic" w:eastAsia="Malgun Gothic" w:hAnsi="Malgun Gothic"/>
          <w:sz w:val="24"/>
          <w:szCs w:val="24"/>
        </w:rPr>
        <w:t>registered at Companies House; or</w:t>
      </w:r>
    </w:p>
    <w:p w:rsidR="00E72CFB" w:rsidRPr="00B53E62" w:rsidRDefault="00E72CFB" w:rsidP="00E72CFB">
      <w:pPr>
        <w:pStyle w:val="ListParagraph"/>
        <w:numPr>
          <w:ilvl w:val="0"/>
          <w:numId w:val="3"/>
        </w:numPr>
        <w:spacing w:line="360" w:lineRule="auto"/>
        <w:rPr>
          <w:rFonts w:ascii="Malgun Gothic" w:eastAsia="Malgun Gothic" w:hAnsi="Malgun Gothic"/>
          <w:sz w:val="24"/>
          <w:szCs w:val="24"/>
        </w:rPr>
      </w:pPr>
      <w:r w:rsidRPr="00B53E62">
        <w:rPr>
          <w:rFonts w:ascii="Malgun Gothic" w:eastAsia="Malgun Gothic" w:hAnsi="Malgun Gothic"/>
          <w:sz w:val="24"/>
          <w:szCs w:val="24"/>
        </w:rPr>
        <w:t xml:space="preserve">if the body is a Limited Liability Partnership, an </w:t>
      </w:r>
      <w:r w:rsidRPr="00BB03A6">
        <w:rPr>
          <w:rFonts w:ascii="Malgun Gothic" w:eastAsia="Malgun Gothic" w:hAnsi="Malgun Gothic"/>
          <w:b/>
          <w:sz w:val="24"/>
          <w:szCs w:val="24"/>
        </w:rPr>
        <w:t>LLP member</w:t>
      </w:r>
      <w:r w:rsidRPr="00B53E62">
        <w:rPr>
          <w:rFonts w:ascii="Malgun Gothic" w:eastAsia="Malgun Gothic" w:hAnsi="Malgun Gothic"/>
          <w:sz w:val="24"/>
          <w:szCs w:val="24"/>
        </w:rPr>
        <w:t xml:space="preserve"> registered at Companies House; or</w:t>
      </w:r>
    </w:p>
    <w:p w:rsidR="00E72CFB" w:rsidRPr="00B53E62" w:rsidRDefault="00E72CFB" w:rsidP="00E72CFB">
      <w:pPr>
        <w:pStyle w:val="ListParagraph"/>
        <w:numPr>
          <w:ilvl w:val="0"/>
          <w:numId w:val="3"/>
        </w:numPr>
        <w:spacing w:line="360" w:lineRule="auto"/>
        <w:rPr>
          <w:rFonts w:ascii="Malgun Gothic" w:eastAsia="Malgun Gothic" w:hAnsi="Malgun Gothic"/>
          <w:sz w:val="24"/>
          <w:szCs w:val="24"/>
        </w:rPr>
      </w:pPr>
      <w:r w:rsidRPr="00B53E62">
        <w:rPr>
          <w:rFonts w:ascii="Malgun Gothic" w:eastAsia="Malgun Gothic" w:hAnsi="Malgun Gothic"/>
          <w:sz w:val="24"/>
          <w:szCs w:val="24"/>
        </w:rPr>
        <w:t xml:space="preserve">if the body is a partnership, a person held out as a partner who may be an </w:t>
      </w:r>
      <w:r w:rsidRPr="00BB03A6">
        <w:rPr>
          <w:rFonts w:ascii="Malgun Gothic" w:eastAsia="Malgun Gothic" w:hAnsi="Malgun Gothic"/>
          <w:b/>
          <w:sz w:val="24"/>
          <w:szCs w:val="24"/>
        </w:rPr>
        <w:t>equity or salaried partner</w:t>
      </w:r>
      <w:r w:rsidRPr="00B53E62">
        <w:rPr>
          <w:rFonts w:ascii="Malgun Gothic" w:eastAsia="Malgun Gothic" w:hAnsi="Malgun Gothic"/>
          <w:sz w:val="24"/>
          <w:szCs w:val="24"/>
        </w:rPr>
        <w:t xml:space="preserve"> e.g. listed as a partner on the Practice’s headed paper</w:t>
      </w:r>
      <w:r w:rsidR="00B53E62" w:rsidRPr="00B53E62">
        <w:rPr>
          <w:rFonts w:ascii="Malgun Gothic" w:eastAsia="Malgun Gothic" w:hAnsi="Malgun Gothic"/>
          <w:sz w:val="24"/>
          <w:szCs w:val="24"/>
        </w:rPr>
        <w:t xml:space="preserve"> or website</w:t>
      </w:r>
      <w:r w:rsidRPr="00B53E62">
        <w:rPr>
          <w:rFonts w:ascii="Malgun Gothic" w:eastAsia="Malgun Gothic" w:hAnsi="Malgun Gothic"/>
          <w:sz w:val="24"/>
          <w:szCs w:val="24"/>
        </w:rPr>
        <w:t>; or</w:t>
      </w:r>
    </w:p>
    <w:p w:rsidR="00E72CFB" w:rsidRPr="00B53E62" w:rsidRDefault="00E72CFB" w:rsidP="00E72CFB">
      <w:pPr>
        <w:pStyle w:val="ListParagraph"/>
        <w:numPr>
          <w:ilvl w:val="0"/>
          <w:numId w:val="3"/>
        </w:numPr>
        <w:spacing w:line="360" w:lineRule="auto"/>
        <w:rPr>
          <w:rFonts w:ascii="Malgun Gothic" w:eastAsia="Malgun Gothic" w:hAnsi="Malgun Gothic"/>
          <w:sz w:val="24"/>
          <w:szCs w:val="24"/>
        </w:rPr>
      </w:pPr>
      <w:r w:rsidRPr="00BB03A6">
        <w:rPr>
          <w:rFonts w:ascii="Malgun Gothic" w:eastAsia="Malgun Gothic" w:hAnsi="Malgun Gothic"/>
          <w:b/>
          <w:sz w:val="24"/>
          <w:szCs w:val="24"/>
        </w:rPr>
        <w:t xml:space="preserve">Sole </w:t>
      </w:r>
      <w:r w:rsidR="00B53E62" w:rsidRPr="00BB03A6">
        <w:rPr>
          <w:rFonts w:ascii="Malgun Gothic" w:eastAsia="Malgun Gothic" w:hAnsi="Malgun Gothic"/>
          <w:b/>
          <w:sz w:val="24"/>
          <w:szCs w:val="24"/>
        </w:rPr>
        <w:t>Proprietor</w:t>
      </w:r>
      <w:r w:rsidR="00B53E62">
        <w:rPr>
          <w:rFonts w:ascii="Malgun Gothic" w:eastAsia="Malgun Gothic" w:hAnsi="Malgun Gothic"/>
          <w:sz w:val="24"/>
          <w:szCs w:val="24"/>
        </w:rPr>
        <w:t>, who is by default a Sole</w:t>
      </w:r>
      <w:r w:rsidRPr="00B53E62">
        <w:rPr>
          <w:rFonts w:ascii="Malgun Gothic" w:eastAsia="Malgun Gothic" w:hAnsi="Malgun Gothic"/>
          <w:sz w:val="24"/>
          <w:szCs w:val="24"/>
        </w:rPr>
        <w:t xml:space="preserve"> </w:t>
      </w:r>
      <w:r w:rsidR="00B53E62">
        <w:rPr>
          <w:rFonts w:ascii="Malgun Gothic" w:eastAsia="Malgun Gothic" w:hAnsi="Malgun Gothic"/>
          <w:sz w:val="24"/>
          <w:szCs w:val="24"/>
        </w:rPr>
        <w:t xml:space="preserve">Practitioner under CLC rules; </w:t>
      </w:r>
      <w:r w:rsidRPr="00B53E62">
        <w:rPr>
          <w:rFonts w:ascii="Malgun Gothic" w:eastAsia="Malgun Gothic" w:hAnsi="Malgun Gothic"/>
          <w:sz w:val="24"/>
          <w:szCs w:val="24"/>
        </w:rPr>
        <w:t>or</w:t>
      </w:r>
    </w:p>
    <w:p w:rsidR="00E72CFB" w:rsidRDefault="00BB03A6" w:rsidP="00BB03A6">
      <w:pPr>
        <w:pStyle w:val="ListParagraph"/>
        <w:numPr>
          <w:ilvl w:val="0"/>
          <w:numId w:val="3"/>
        </w:numPr>
        <w:spacing w:line="360" w:lineRule="auto"/>
        <w:rPr>
          <w:rFonts w:ascii="Malgun Gothic" w:eastAsia="Malgun Gothic" w:hAnsi="Malgun Gothic"/>
          <w:sz w:val="24"/>
          <w:szCs w:val="24"/>
        </w:rPr>
      </w:pPr>
      <w:r w:rsidRPr="00BB03A6">
        <w:rPr>
          <w:rFonts w:ascii="Malgun Gothic" w:eastAsia="Malgun Gothic" w:hAnsi="Malgun Gothic"/>
          <w:b/>
          <w:sz w:val="24"/>
          <w:szCs w:val="24"/>
        </w:rPr>
        <w:t>Beneficial Owners/Investors</w:t>
      </w:r>
      <w:r>
        <w:rPr>
          <w:rFonts w:ascii="Malgun Gothic" w:eastAsia="Malgun Gothic" w:hAnsi="Malgun Gothic"/>
          <w:sz w:val="24"/>
          <w:szCs w:val="24"/>
        </w:rPr>
        <w:t>, Private or Corporate Investors with a material interest.</w:t>
      </w:r>
    </w:p>
    <w:p w:rsidR="0011033B" w:rsidRDefault="00B53E62" w:rsidP="00B53E62">
      <w:pPr>
        <w:spacing w:line="360" w:lineRule="auto"/>
        <w:rPr>
          <w:rFonts w:ascii="Malgun Gothic" w:eastAsia="Malgun Gothic" w:hAnsi="Malgun Gothic"/>
          <w:sz w:val="24"/>
          <w:szCs w:val="24"/>
        </w:rPr>
      </w:pPr>
      <w:r>
        <w:rPr>
          <w:rFonts w:ascii="Malgun Gothic" w:eastAsia="Malgun Gothic" w:hAnsi="Malgun Gothic"/>
          <w:sz w:val="24"/>
          <w:szCs w:val="24"/>
        </w:rPr>
        <w:t xml:space="preserve">With the exception of 5 all Individuals will be listed on the CLC Public Register. </w:t>
      </w:r>
    </w:p>
    <w:p w:rsidR="0011033B" w:rsidRDefault="0011033B" w:rsidP="00B53E62">
      <w:pPr>
        <w:spacing w:line="360" w:lineRule="auto"/>
        <w:rPr>
          <w:rFonts w:ascii="Malgun Gothic" w:eastAsia="Malgun Gothic" w:hAnsi="Malgun Gothic"/>
          <w:sz w:val="24"/>
          <w:szCs w:val="24"/>
        </w:rPr>
      </w:pPr>
      <w:r>
        <w:rPr>
          <w:rFonts w:ascii="Malgun Gothic" w:eastAsia="Malgun Gothic" w:hAnsi="Malgun Gothic"/>
          <w:sz w:val="24"/>
          <w:szCs w:val="24"/>
        </w:rPr>
        <w:t>It is</w:t>
      </w:r>
      <w:r w:rsidR="00EF6479">
        <w:rPr>
          <w:rFonts w:ascii="Malgun Gothic" w:eastAsia="Malgun Gothic" w:hAnsi="Malgun Gothic"/>
          <w:sz w:val="24"/>
          <w:szCs w:val="24"/>
        </w:rPr>
        <w:t xml:space="preserve"> the responsibility of the CLC regulated practice to notify the CLC licensing team when it appoints </w:t>
      </w:r>
      <w:r>
        <w:rPr>
          <w:rFonts w:ascii="Malgun Gothic" w:eastAsia="Malgun Gothic" w:hAnsi="Malgun Gothic"/>
          <w:sz w:val="24"/>
          <w:szCs w:val="24"/>
        </w:rPr>
        <w:t>individuals in</w:t>
      </w:r>
      <w:r w:rsidR="0040560B">
        <w:rPr>
          <w:rFonts w:ascii="Malgun Gothic" w:eastAsia="Malgun Gothic" w:hAnsi="Malgun Gothic"/>
          <w:sz w:val="24"/>
          <w:szCs w:val="24"/>
        </w:rPr>
        <w:t>to</w:t>
      </w:r>
      <w:r w:rsidR="00935CAB">
        <w:rPr>
          <w:rFonts w:ascii="Malgun Gothic" w:eastAsia="Malgun Gothic" w:hAnsi="Malgun Gothic"/>
          <w:sz w:val="24"/>
          <w:szCs w:val="24"/>
        </w:rPr>
        <w:t xml:space="preserve"> </w:t>
      </w:r>
      <w:r>
        <w:rPr>
          <w:rFonts w:ascii="Malgun Gothic" w:eastAsia="Malgun Gothic" w:hAnsi="Malgun Gothic"/>
          <w:sz w:val="24"/>
          <w:szCs w:val="24"/>
        </w:rPr>
        <w:t>position</w:t>
      </w:r>
      <w:r w:rsidR="00935CAB">
        <w:rPr>
          <w:rFonts w:ascii="Malgun Gothic" w:eastAsia="Malgun Gothic" w:hAnsi="Malgun Gothic"/>
          <w:sz w:val="24"/>
          <w:szCs w:val="24"/>
        </w:rPr>
        <w:t>s</w:t>
      </w:r>
      <w:r>
        <w:rPr>
          <w:rFonts w:ascii="Malgun Gothic" w:eastAsia="Malgun Gothic" w:hAnsi="Malgun Gothic"/>
          <w:sz w:val="24"/>
          <w:szCs w:val="24"/>
        </w:rPr>
        <w:t xml:space="preserve"> of care and control</w:t>
      </w:r>
      <w:r w:rsidR="0040560B">
        <w:rPr>
          <w:rFonts w:ascii="Malgun Gothic" w:eastAsia="Malgun Gothic" w:hAnsi="Malgun Gothic"/>
          <w:sz w:val="24"/>
          <w:szCs w:val="24"/>
        </w:rPr>
        <w:t xml:space="preserve"> </w:t>
      </w:r>
      <w:r w:rsidR="00935CAB">
        <w:rPr>
          <w:rFonts w:ascii="Malgun Gothic" w:eastAsia="Malgun Gothic" w:hAnsi="Malgun Gothic"/>
          <w:sz w:val="24"/>
          <w:szCs w:val="24"/>
        </w:rPr>
        <w:t xml:space="preserve">with and without a material interest. </w:t>
      </w:r>
    </w:p>
    <w:p w:rsidR="00935CAB" w:rsidRDefault="00935CAB" w:rsidP="00B53E62">
      <w:pPr>
        <w:spacing w:line="360" w:lineRule="auto"/>
        <w:rPr>
          <w:rFonts w:ascii="Malgun Gothic" w:eastAsia="Malgun Gothic" w:hAnsi="Malgun Gothic"/>
          <w:sz w:val="24"/>
          <w:szCs w:val="24"/>
        </w:rPr>
      </w:pPr>
      <w:r>
        <w:rPr>
          <w:rFonts w:ascii="Malgun Gothic" w:eastAsia="Malgun Gothic" w:hAnsi="Malgun Gothic"/>
          <w:sz w:val="24"/>
          <w:szCs w:val="24"/>
        </w:rPr>
        <w:t>Appointees wishing to be listed on the CLC Public Register must complete and pay for the s</w:t>
      </w:r>
      <w:r w:rsidR="00EF6479">
        <w:rPr>
          <w:rFonts w:ascii="Malgun Gothic" w:eastAsia="Malgun Gothic" w:hAnsi="Malgun Gothic"/>
          <w:sz w:val="24"/>
          <w:szCs w:val="24"/>
        </w:rPr>
        <w:t xml:space="preserve">tandard fit and proper person </w:t>
      </w:r>
      <w:r>
        <w:rPr>
          <w:rFonts w:ascii="Malgun Gothic" w:eastAsia="Malgun Gothic" w:hAnsi="Malgun Gothic"/>
          <w:sz w:val="24"/>
          <w:szCs w:val="24"/>
        </w:rPr>
        <w:t>processes</w:t>
      </w:r>
      <w:r w:rsidR="00AD49F9">
        <w:rPr>
          <w:rFonts w:ascii="Malgun Gothic" w:eastAsia="Malgun Gothic" w:hAnsi="Malgun Gothic"/>
          <w:sz w:val="24"/>
          <w:szCs w:val="24"/>
        </w:rPr>
        <w:t>. This process</w:t>
      </w:r>
      <w:r>
        <w:rPr>
          <w:rFonts w:ascii="Malgun Gothic" w:eastAsia="Malgun Gothic" w:hAnsi="Malgun Gothic"/>
          <w:sz w:val="24"/>
          <w:szCs w:val="24"/>
        </w:rPr>
        <w:t xml:space="preserve"> includes</w:t>
      </w:r>
      <w:r w:rsidR="00765A67">
        <w:rPr>
          <w:rFonts w:ascii="Malgun Gothic" w:eastAsia="Malgun Gothic" w:hAnsi="Malgun Gothic"/>
          <w:sz w:val="24"/>
          <w:szCs w:val="24"/>
        </w:rPr>
        <w:t>:</w:t>
      </w:r>
    </w:p>
    <w:p w:rsidR="00935CAB" w:rsidRDefault="00935CAB" w:rsidP="00935CAB">
      <w:pPr>
        <w:pStyle w:val="ListParagraph"/>
        <w:numPr>
          <w:ilvl w:val="0"/>
          <w:numId w:val="4"/>
        </w:numPr>
        <w:spacing w:line="360" w:lineRule="auto"/>
        <w:rPr>
          <w:rFonts w:ascii="Malgun Gothic" w:eastAsia="Malgun Gothic" w:hAnsi="Malgun Gothic"/>
          <w:sz w:val="24"/>
          <w:szCs w:val="24"/>
        </w:rPr>
      </w:pPr>
      <w:r>
        <w:rPr>
          <w:rFonts w:ascii="Malgun Gothic" w:eastAsia="Malgun Gothic" w:hAnsi="Malgun Gothic"/>
          <w:sz w:val="24"/>
          <w:szCs w:val="24"/>
        </w:rPr>
        <w:lastRenderedPageBreak/>
        <w:t>any administration forms, supporting evidence and fees payable to the CLC</w:t>
      </w:r>
      <w:r w:rsidR="00765A67">
        <w:rPr>
          <w:rFonts w:ascii="Malgun Gothic" w:eastAsia="Malgun Gothic" w:hAnsi="Malgun Gothic"/>
          <w:sz w:val="24"/>
          <w:szCs w:val="24"/>
        </w:rPr>
        <w:t xml:space="preserve">; and </w:t>
      </w:r>
    </w:p>
    <w:p w:rsidR="00935CAB" w:rsidRDefault="00935CAB" w:rsidP="00935CAB">
      <w:pPr>
        <w:pStyle w:val="ListParagraph"/>
        <w:numPr>
          <w:ilvl w:val="0"/>
          <w:numId w:val="4"/>
        </w:numPr>
        <w:spacing w:line="360" w:lineRule="auto"/>
        <w:rPr>
          <w:rFonts w:ascii="Malgun Gothic" w:eastAsia="Malgun Gothic" w:hAnsi="Malgun Gothic"/>
          <w:sz w:val="24"/>
          <w:szCs w:val="24"/>
        </w:rPr>
      </w:pPr>
      <w:r>
        <w:rPr>
          <w:rFonts w:ascii="Malgun Gothic" w:eastAsia="Malgun Gothic" w:hAnsi="Malgun Gothic"/>
          <w:sz w:val="24"/>
          <w:szCs w:val="24"/>
        </w:rPr>
        <w:t xml:space="preserve">any </w:t>
      </w:r>
      <w:r w:rsidR="00AD49F9">
        <w:rPr>
          <w:rFonts w:ascii="Malgun Gothic" w:eastAsia="Malgun Gothic" w:hAnsi="Malgun Gothic"/>
          <w:sz w:val="24"/>
          <w:szCs w:val="24"/>
        </w:rPr>
        <w:t>cons</w:t>
      </w:r>
      <w:r>
        <w:rPr>
          <w:rFonts w:ascii="Malgun Gothic" w:eastAsia="Malgun Gothic" w:hAnsi="Malgun Gothic"/>
          <w:sz w:val="24"/>
          <w:szCs w:val="24"/>
        </w:rPr>
        <w:t xml:space="preserve">ent forms and fees payable </w:t>
      </w:r>
      <w:r w:rsidRPr="00935CAB">
        <w:rPr>
          <w:rFonts w:ascii="Malgun Gothic" w:eastAsia="Malgun Gothic" w:hAnsi="Malgun Gothic"/>
          <w:sz w:val="24"/>
          <w:szCs w:val="24"/>
        </w:rPr>
        <w:t xml:space="preserve">to Experian, the agency that will </w:t>
      </w:r>
      <w:r>
        <w:rPr>
          <w:rFonts w:ascii="Malgun Gothic" w:eastAsia="Malgun Gothic" w:hAnsi="Malgun Gothic"/>
          <w:sz w:val="24"/>
          <w:szCs w:val="24"/>
        </w:rPr>
        <w:t xml:space="preserve">on the CLC’s behalf, </w:t>
      </w:r>
      <w:r w:rsidRPr="00935CAB">
        <w:rPr>
          <w:rFonts w:ascii="Malgun Gothic" w:eastAsia="Malgun Gothic" w:hAnsi="Malgun Gothic"/>
          <w:sz w:val="24"/>
          <w:szCs w:val="24"/>
        </w:rPr>
        <w:t xml:space="preserve">carry out the financial, sanctions </w:t>
      </w:r>
      <w:r w:rsidR="00EF6479" w:rsidRPr="00935CAB">
        <w:rPr>
          <w:rFonts w:ascii="Malgun Gothic" w:eastAsia="Malgun Gothic" w:hAnsi="Malgun Gothic"/>
          <w:sz w:val="24"/>
          <w:szCs w:val="24"/>
        </w:rPr>
        <w:t>and criminally ch</w:t>
      </w:r>
      <w:r>
        <w:rPr>
          <w:rFonts w:ascii="Malgun Gothic" w:eastAsia="Malgun Gothic" w:hAnsi="Malgun Gothic"/>
          <w:sz w:val="24"/>
          <w:szCs w:val="24"/>
        </w:rPr>
        <w:t>ecks;</w:t>
      </w:r>
      <w:r w:rsidR="00765A67">
        <w:rPr>
          <w:rFonts w:ascii="Malgun Gothic" w:eastAsia="Malgun Gothic" w:hAnsi="Malgun Gothic"/>
          <w:sz w:val="24"/>
          <w:szCs w:val="24"/>
        </w:rPr>
        <w:t xml:space="preserve"> and</w:t>
      </w:r>
    </w:p>
    <w:p w:rsidR="00765A67" w:rsidRDefault="00AD49F9" w:rsidP="00935CAB">
      <w:pPr>
        <w:pStyle w:val="ListParagraph"/>
        <w:numPr>
          <w:ilvl w:val="0"/>
          <w:numId w:val="4"/>
        </w:numPr>
        <w:spacing w:line="360" w:lineRule="auto"/>
        <w:rPr>
          <w:rFonts w:ascii="Malgun Gothic" w:eastAsia="Malgun Gothic" w:hAnsi="Malgun Gothic"/>
          <w:sz w:val="24"/>
          <w:szCs w:val="24"/>
        </w:rPr>
      </w:pPr>
      <w:r>
        <w:rPr>
          <w:rFonts w:ascii="Malgun Gothic" w:eastAsia="Malgun Gothic" w:hAnsi="Malgun Gothic"/>
          <w:sz w:val="24"/>
          <w:szCs w:val="24"/>
        </w:rPr>
        <w:t xml:space="preserve">consent to carry out </w:t>
      </w:r>
      <w:r w:rsidR="00765A67">
        <w:rPr>
          <w:rFonts w:ascii="Malgun Gothic" w:eastAsia="Malgun Gothic" w:hAnsi="Malgun Gothic"/>
          <w:sz w:val="24"/>
          <w:szCs w:val="24"/>
        </w:rPr>
        <w:t xml:space="preserve">disciplinary and conduct </w:t>
      </w:r>
      <w:r>
        <w:rPr>
          <w:rFonts w:ascii="Malgun Gothic" w:eastAsia="Malgun Gothic" w:hAnsi="Malgun Gothic"/>
          <w:sz w:val="24"/>
          <w:szCs w:val="24"/>
        </w:rPr>
        <w:t>checks.</w:t>
      </w:r>
    </w:p>
    <w:p w:rsidR="00765A67" w:rsidRDefault="00765A67" w:rsidP="00765A67">
      <w:pPr>
        <w:spacing w:line="360" w:lineRule="auto"/>
        <w:rPr>
          <w:rFonts w:ascii="Malgun Gothic" w:eastAsia="Malgun Gothic" w:hAnsi="Malgun Gothic"/>
          <w:sz w:val="24"/>
          <w:szCs w:val="24"/>
        </w:rPr>
      </w:pPr>
    </w:p>
    <w:p w:rsidR="00765A67" w:rsidRPr="00765A67" w:rsidRDefault="00765A67" w:rsidP="00765A67">
      <w:pPr>
        <w:spacing w:line="360" w:lineRule="auto"/>
        <w:rPr>
          <w:rFonts w:ascii="Malgun Gothic" w:eastAsia="Malgun Gothic" w:hAnsi="Malgun Gothic"/>
          <w:sz w:val="24"/>
          <w:szCs w:val="24"/>
        </w:rPr>
      </w:pPr>
      <w:r w:rsidRPr="009B49CF">
        <w:rPr>
          <w:rFonts w:ascii="Malgun Gothic" w:eastAsia="Malgun Gothic" w:hAnsi="Malgun Gothic"/>
          <w:b/>
          <w:i/>
          <w:sz w:val="24"/>
          <w:szCs w:val="24"/>
        </w:rPr>
        <w:t>Important Notice</w:t>
      </w:r>
      <w:r>
        <w:rPr>
          <w:rFonts w:ascii="Malgun Gothic" w:eastAsia="Malgun Gothic" w:hAnsi="Malgun Gothic"/>
          <w:sz w:val="24"/>
          <w:szCs w:val="24"/>
        </w:rPr>
        <w:t>: CLC lawyers appointed as Directors, Members or Partners in businesses regulated by another regulator or professional body are not eligible to be listed as Registered Managers on the CLC Public Register. These individuals should follow the requirements set out by the bo</w:t>
      </w:r>
      <w:r w:rsidR="00F666EA">
        <w:rPr>
          <w:rFonts w:ascii="Malgun Gothic" w:eastAsia="Malgun Gothic" w:hAnsi="Malgun Gothic"/>
          <w:sz w:val="24"/>
          <w:szCs w:val="24"/>
        </w:rPr>
        <w:t>d</w:t>
      </w:r>
      <w:r>
        <w:rPr>
          <w:rFonts w:ascii="Malgun Gothic" w:eastAsia="Malgun Gothic" w:hAnsi="Malgun Gothic"/>
          <w:sz w:val="24"/>
          <w:szCs w:val="24"/>
        </w:rPr>
        <w:t xml:space="preserve">y’s regulator or professional body. This does not impact on the CLC lawyers individual’s listing on the CLC </w:t>
      </w:r>
      <w:r w:rsidRPr="00765A67">
        <w:rPr>
          <w:rFonts w:ascii="Malgun Gothic" w:eastAsia="Malgun Gothic" w:hAnsi="Malgun Gothic"/>
          <w:sz w:val="24"/>
          <w:szCs w:val="24"/>
        </w:rPr>
        <w:t>Public Register</w:t>
      </w:r>
      <w:r>
        <w:rPr>
          <w:rFonts w:ascii="Malgun Gothic" w:eastAsia="Malgun Gothic" w:hAnsi="Malgun Gothic"/>
          <w:sz w:val="24"/>
          <w:szCs w:val="24"/>
        </w:rPr>
        <w:t xml:space="preserve"> whilst they continue to hold a current and valid CLC licence.</w:t>
      </w:r>
    </w:p>
    <w:p w:rsidR="004F7AB0" w:rsidRPr="00FA1943" w:rsidRDefault="004F7AB0" w:rsidP="00E72CFB">
      <w:bookmarkStart w:id="0" w:name="_GoBack"/>
      <w:bookmarkEnd w:id="0"/>
    </w:p>
    <w:p w:rsidR="00850694" w:rsidRDefault="00850694"/>
    <w:sectPr w:rsidR="008506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C0" w:rsidRDefault="002978C0" w:rsidP="002978C0">
      <w:pPr>
        <w:spacing w:after="0" w:line="240" w:lineRule="auto"/>
      </w:pPr>
      <w:r>
        <w:separator/>
      </w:r>
    </w:p>
  </w:endnote>
  <w:endnote w:type="continuationSeparator" w:id="0">
    <w:p w:rsidR="002978C0" w:rsidRDefault="002978C0" w:rsidP="0029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5551"/>
      <w:docPartObj>
        <w:docPartGallery w:val="Page Numbers (Bottom of Page)"/>
        <w:docPartUnique/>
      </w:docPartObj>
    </w:sdtPr>
    <w:sdtEndPr/>
    <w:sdtContent>
      <w:sdt>
        <w:sdtPr>
          <w:id w:val="1728636285"/>
          <w:docPartObj>
            <w:docPartGallery w:val="Page Numbers (Top of Page)"/>
            <w:docPartUnique/>
          </w:docPartObj>
        </w:sdtPr>
        <w:sdtEndPr/>
        <w:sdtContent>
          <w:p w:rsidR="002978C0" w:rsidRDefault="002978C0" w:rsidP="002978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66E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66EA">
              <w:rPr>
                <w:b/>
                <w:bCs/>
                <w:noProof/>
              </w:rPr>
              <w:t>2</w:t>
            </w:r>
            <w:r>
              <w:rPr>
                <w:b/>
                <w:bCs/>
                <w:sz w:val="24"/>
                <w:szCs w:val="24"/>
              </w:rPr>
              <w:fldChar w:fldCharType="end"/>
            </w:r>
          </w:p>
        </w:sdtContent>
      </w:sdt>
    </w:sdtContent>
  </w:sdt>
  <w:p w:rsidR="002978C0" w:rsidRDefault="00EF6479" w:rsidP="002978C0">
    <w:pPr>
      <w:pStyle w:val="Footer"/>
      <w:jc w:val="both"/>
    </w:pPr>
    <w:r>
      <w:t>Sept 2021</w:t>
    </w:r>
    <w:r w:rsidR="002978C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C0" w:rsidRDefault="002978C0" w:rsidP="002978C0">
      <w:pPr>
        <w:spacing w:after="0" w:line="240" w:lineRule="auto"/>
      </w:pPr>
      <w:r>
        <w:separator/>
      </w:r>
    </w:p>
  </w:footnote>
  <w:footnote w:type="continuationSeparator" w:id="0">
    <w:p w:rsidR="002978C0" w:rsidRDefault="002978C0" w:rsidP="002978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B43"/>
    <w:multiLevelType w:val="hybridMultilevel"/>
    <w:tmpl w:val="61345C3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7413F3"/>
    <w:multiLevelType w:val="hybridMultilevel"/>
    <w:tmpl w:val="20D6F99E"/>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5CCD66FE"/>
    <w:multiLevelType w:val="hybridMultilevel"/>
    <w:tmpl w:val="F566F0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E0"/>
    <w:rsid w:val="0011033B"/>
    <w:rsid w:val="00265EF5"/>
    <w:rsid w:val="002978C0"/>
    <w:rsid w:val="003465A0"/>
    <w:rsid w:val="003A36AF"/>
    <w:rsid w:val="0040560B"/>
    <w:rsid w:val="004B758C"/>
    <w:rsid w:val="004F7AB0"/>
    <w:rsid w:val="006262E0"/>
    <w:rsid w:val="00765A67"/>
    <w:rsid w:val="00791DA0"/>
    <w:rsid w:val="0079257F"/>
    <w:rsid w:val="00850694"/>
    <w:rsid w:val="00935CAB"/>
    <w:rsid w:val="009B49CF"/>
    <w:rsid w:val="00A12FA2"/>
    <w:rsid w:val="00AC7DEC"/>
    <w:rsid w:val="00AD49F9"/>
    <w:rsid w:val="00B53E62"/>
    <w:rsid w:val="00BB03A6"/>
    <w:rsid w:val="00C02199"/>
    <w:rsid w:val="00E72CFB"/>
    <w:rsid w:val="00EF6479"/>
    <w:rsid w:val="00F666EA"/>
    <w:rsid w:val="00FC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A7A7"/>
  <w15:chartTrackingRefBased/>
  <w15:docId w15:val="{A7D1B34E-180D-411E-8FE0-9A6C6414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5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AB0"/>
    <w:pPr>
      <w:ind w:left="720"/>
      <w:contextualSpacing/>
    </w:pPr>
    <w:rPr>
      <w:rFonts w:ascii="Arial" w:hAnsi="Arial"/>
    </w:rPr>
  </w:style>
  <w:style w:type="paragraph" w:styleId="Header">
    <w:name w:val="header"/>
    <w:basedOn w:val="Normal"/>
    <w:link w:val="HeaderChar"/>
    <w:uiPriority w:val="99"/>
    <w:unhideWhenUsed/>
    <w:rsid w:val="00297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8C0"/>
  </w:style>
  <w:style w:type="paragraph" w:styleId="Footer">
    <w:name w:val="footer"/>
    <w:basedOn w:val="Normal"/>
    <w:link w:val="FooterChar"/>
    <w:uiPriority w:val="99"/>
    <w:unhideWhenUsed/>
    <w:rsid w:val="00297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Richardson</dc:creator>
  <cp:keywords/>
  <dc:description/>
  <cp:lastModifiedBy>Megan Tyler</cp:lastModifiedBy>
  <cp:revision>24</cp:revision>
  <dcterms:created xsi:type="dcterms:W3CDTF">2017-08-14T13:06:00Z</dcterms:created>
  <dcterms:modified xsi:type="dcterms:W3CDTF">2021-05-19T13:19:00Z</dcterms:modified>
</cp:coreProperties>
</file>